
<file path=[Content_Types].xml><?xml version="1.0" encoding="utf-8"?>
<Types xmlns="http://schemas.openxmlformats.org/package/2006/content-types">
  <Default Extension="xml" ContentType="application/xml"/>
  <Default Extension="tiff" ContentType="image/tiff"/>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39A0CC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D5C3E20">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1CAE8EA4">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07.060"/>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07.060</w:t>
            </w:r>
            <w:r>
              <w:rPr>
                <w:rFonts w:ascii="黑体" w:hAnsi="黑体" w:eastAsia="黑体"/>
                <w:sz w:val="21"/>
                <w:szCs w:val="21"/>
              </w:rPr>
              <w:fldChar w:fldCharType="end"/>
            </w:r>
            <w:bookmarkEnd w:id="0"/>
          </w:p>
        </w:tc>
      </w:tr>
      <w:tr w14:paraId="4DA269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2B35FB9F">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7C17DCEC">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A 47"/>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A 47</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490A4566">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243B44EE">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32</w:t>
            </w:r>
            <w:r>
              <w:fldChar w:fldCharType="end"/>
            </w:r>
            <w:bookmarkEnd w:id="3"/>
          </w:p>
        </w:tc>
      </w:tr>
    </w:tbl>
    <w:p w14:paraId="14E441AB">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江苏</w:t>
      </w:r>
      <w:r>
        <w:rPr>
          <w:rFonts w:ascii="黑体" w:eastAsia="黑体"/>
          <w:b w:val="0"/>
          <w:w w:val="100"/>
          <w:sz w:val="48"/>
        </w:rPr>
        <w:t>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0136CB19">
      <w:pPr>
        <w:pStyle w:val="195"/>
        <w:spacing w:before="120" w:after="120"/>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32</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6C86CE1F">
      <w:pPr>
        <w:pStyle w:val="196"/>
        <w:spacing w:before="120" w:after="120"/>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1541AAFF">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30274D33">
      <w:pPr>
        <w:pStyle w:val="50"/>
        <w:framePr w:w="9639" w:h="6976" w:hRule="exact" w:hSpace="0" w:vSpace="0" w:wrap="around" w:hAnchor="page" w:y="6408"/>
        <w:jc w:val="center"/>
        <w:rPr>
          <w:rFonts w:ascii="黑体" w:hAnsi="黑体" w:eastAsia="黑体"/>
          <w:b w:val="0"/>
          <w:bCs w:val="0"/>
          <w:w w:val="100"/>
        </w:rPr>
      </w:pPr>
    </w:p>
    <w:p w14:paraId="3269C6DB">
      <w:pPr>
        <w:pStyle w:val="197"/>
        <w:framePr w:h="6974" w:hRule="exact" w:wrap="around" w:x="1419" w:anchorLock="1"/>
        <w:spacing w:before="120" w:after="120"/>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规模化奶牛场小气候自动监测技术规范</w:t>
      </w:r>
      <w:r>
        <w:fldChar w:fldCharType="end"/>
      </w:r>
      <w:bookmarkEnd w:id="9"/>
    </w:p>
    <w:p w14:paraId="79EB948C">
      <w:pPr>
        <w:framePr w:w="9639" w:h="6974" w:hRule="exact" w:wrap="around" w:vAnchor="page" w:hAnchor="page" w:x="1419" w:y="6408" w:anchorLock="1"/>
        <w:ind w:left="-1418"/>
      </w:pPr>
    </w:p>
    <w:p w14:paraId="521174AA">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Technical specifications of the microclimate automatic observation"/>
            </w:textInput>
          </w:ffData>
        </w:fldChar>
      </w:r>
      <w:bookmarkStart w:id="10" w:name="ESTD_NAME"/>
      <w:r>
        <w:rPr>
          <w:rFonts w:eastAsia="黑体"/>
          <w:caps w:val="0"/>
          <w:szCs w:val="28"/>
        </w:rPr>
        <w:instrText xml:space="preserve"> FORMTEXT </w:instrText>
      </w:r>
      <w:r>
        <w:rPr>
          <w:rFonts w:eastAsia="黑体"/>
          <w:szCs w:val="28"/>
        </w:rPr>
        <w:fldChar w:fldCharType="separate"/>
      </w:r>
      <w:r>
        <w:rPr>
          <w:rFonts w:eastAsia="黑体"/>
          <w:szCs w:val="28"/>
        </w:rPr>
        <w:t>Technical specifications of the microclimate automatic observation</w:t>
      </w:r>
      <w:r>
        <w:rPr>
          <w:rFonts w:eastAsia="黑体"/>
          <w:szCs w:val="28"/>
        </w:rPr>
        <w:fldChar w:fldCharType="end"/>
      </w:r>
      <w:bookmarkEnd w:id="10"/>
    </w:p>
    <w:p w14:paraId="41B9F71E">
      <w:pPr>
        <w:pStyle w:val="125"/>
        <w:framePr w:w="9639" w:h="6974" w:hRule="exact" w:wrap="around" w:vAnchor="page" w:hAnchor="page" w:x="1419" w:y="6408" w:anchorLock="1"/>
        <w:textAlignment w:val="bottom"/>
        <w:rPr>
          <w:rFonts w:eastAsia="黑体"/>
          <w:szCs w:val="28"/>
        </w:rPr>
      </w:pPr>
      <w:r>
        <w:rPr>
          <w:rFonts w:eastAsia="黑体"/>
          <w:szCs w:val="28"/>
        </w:rPr>
        <w:t>for large-scale dairy farm</w:t>
      </w:r>
    </w:p>
    <w:p w14:paraId="40E69F33">
      <w:pPr>
        <w:framePr w:w="9639" w:h="6974" w:hRule="exact" w:wrap="around" w:vAnchor="page" w:hAnchor="page" w:x="1419" w:y="6408" w:anchorLock="1"/>
        <w:spacing w:line="760" w:lineRule="exact"/>
        <w:ind w:left="-1418"/>
      </w:pPr>
    </w:p>
    <w:p w14:paraId="2DD38258">
      <w:pPr>
        <w:pStyle w:val="125"/>
        <w:framePr w:w="9639" w:h="6974" w:hRule="exact" w:wrap="around" w:vAnchor="page" w:hAnchor="page" w:x="1419" w:y="6408" w:anchorLock="1"/>
        <w:textAlignment w:val="bottom"/>
        <w:rPr>
          <w:rFonts w:eastAsia="黑体"/>
          <w:szCs w:val="28"/>
        </w:rPr>
      </w:pPr>
    </w:p>
    <w:p w14:paraId="775384B3">
      <w:pPr>
        <w:pStyle w:val="125"/>
        <w:framePr w:w="9639" w:h="6974" w:hRule="exact" w:wrap="around" w:vAnchor="page" w:hAnchor="page" w:x="1419" w:y="6408" w:anchorLock="1"/>
        <w:spacing w:before="440" w:after="160"/>
        <w:textAlignment w:val="bottom"/>
        <w:rPr>
          <w:sz w:val="24"/>
          <w:szCs w:val="28"/>
        </w:rPr>
      </w:pPr>
      <w:r>
        <w:rPr>
          <w:rFonts w:hint="eastAsia"/>
          <w:sz w:val="24"/>
          <w:szCs w:val="28"/>
          <w:lang w:eastAsia="zh-CN"/>
        </w:rPr>
        <w:t>（</w:t>
      </w:r>
      <w:r>
        <w:rPr>
          <w:rFonts w:hint="eastAsia"/>
          <w:sz w:val="24"/>
          <w:szCs w:val="28"/>
          <w:lang w:val="en-US" w:eastAsia="zh-CN"/>
        </w:rPr>
        <w:t>报批稿</w:t>
      </w:r>
      <w:r>
        <w:rPr>
          <w:rFonts w:hint="eastAsia"/>
          <w:sz w:val="24"/>
          <w:szCs w:val="28"/>
          <w:lang w:eastAsia="zh-CN"/>
        </w:rPr>
        <w:t>）</w:t>
      </w:r>
      <w:r>
        <w:rPr>
          <w:sz w:val="24"/>
          <w:szCs w:val="28"/>
        </w:rPr>
        <w:fldChar w:fldCharType="begin">
          <w:ffData>
            <w:name w:val="下拉1"/>
            <w:enabled w:val="0"/>
            <w:calcOnExit w:val="0"/>
            <w:entryMacro w:val="refresh"/>
            <w:ddList>
              <w:listEntry w:val=" "/>
            </w:ddList>
          </w:ffData>
        </w:fldChar>
      </w:r>
      <w:bookmarkStart w:id="11" w:name="下拉1"/>
      <w:r>
        <w:rPr>
          <w:caps w:val="0"/>
          <w:sz w:val="24"/>
          <w:szCs w:val="28"/>
        </w:rPr>
        <w:instrText xml:space="preserve"> FORMDROPDOWN </w:instrText>
      </w:r>
      <w:r>
        <w:rPr>
          <w:sz w:val="24"/>
          <w:szCs w:val="28"/>
        </w:rPr>
        <w:fldChar w:fldCharType="separate"/>
      </w:r>
      <w:r>
        <w:rPr>
          <w:sz w:val="24"/>
          <w:szCs w:val="28"/>
        </w:rPr>
        <w:fldChar w:fldCharType="end"/>
      </w:r>
      <w:bookmarkEnd w:id="11"/>
    </w:p>
    <w:p w14:paraId="5918D447">
      <w:pPr>
        <w:pStyle w:val="193"/>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2"/>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rPr>
          <w:rFonts w:hint="eastAsia"/>
        </w:rPr>
        <w:t>发布</w:t>
      </w:r>
    </w:p>
    <w:p w14:paraId="5A0330A3">
      <w:pPr>
        <w:pStyle w:val="194"/>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rPr>
          <w:rFonts w:hint="eastAsia"/>
        </w:rPr>
        <w:t>实施</w:t>
      </w:r>
    </w:p>
    <w:p w14:paraId="5AEA2A7C">
      <w:pPr>
        <w:pStyle w:val="151"/>
        <w:framePr w:h="584" w:hRule="exact" w:hSpace="181" w:vSpace="181" w:wrap="around" w:y="15027"/>
        <w:rPr>
          <w:rFonts w:hAnsi="黑体"/>
        </w:rPr>
      </w:pPr>
      <w:r>
        <w:rPr>
          <w:rFonts w:hAnsi="黑体"/>
          <w:w w:val="100"/>
          <w:sz w:val="28"/>
        </w:rPr>
        <w:fldChar w:fldCharType="begin">
          <w:ffData>
            <w:name w:val="fm"/>
            <w:enabled/>
            <w:calcOnExit w:val="0"/>
            <w:textInput>
              <w:default w:val="江苏省市场监督管理局"/>
            </w:textInput>
          </w:ffData>
        </w:fldChar>
      </w:r>
      <w:bookmarkStart w:id="18" w:name="fm"/>
      <w:r>
        <w:rPr>
          <w:rFonts w:hAnsi="黑体"/>
          <w:w w:val="100"/>
          <w:sz w:val="28"/>
        </w:rPr>
        <w:instrText xml:space="preserve"> FORMTEXT </w:instrText>
      </w:r>
      <w:r>
        <w:rPr>
          <w:rFonts w:hAnsi="黑体"/>
          <w:w w:val="100"/>
          <w:sz w:val="28"/>
        </w:rPr>
        <w:fldChar w:fldCharType="separate"/>
      </w:r>
      <w:r>
        <w:rPr>
          <w:rFonts w:hAnsi="黑体"/>
          <w:w w:val="100"/>
          <w:sz w:val="28"/>
        </w:rPr>
        <w:t>江苏省市场监督管理局</w:t>
      </w:r>
      <w:r>
        <w:rPr>
          <w:rFonts w:hAnsi="黑体"/>
          <w:w w:val="100"/>
          <w:sz w:val="28"/>
        </w:rPr>
        <w:fldChar w:fldCharType="end"/>
      </w:r>
      <w:bookmarkEnd w:id="18"/>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38382088">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00E76D26">
      <w:pPr>
        <w:pStyle w:val="91"/>
        <w:spacing w:after="468"/>
        <w:rPr>
          <w:rFonts w:hint="eastAsia"/>
        </w:rPr>
      </w:pPr>
      <w:bookmarkStart w:id="19" w:name="BookMark1"/>
      <w:bookmarkStart w:id="20" w:name="_Toc178858751"/>
      <w:bookmarkStart w:id="21" w:name="_Toc160688971"/>
      <w:bookmarkStart w:id="22" w:name="_Toc154579489"/>
      <w:bookmarkStart w:id="23" w:name="_Toc177903641"/>
      <w:bookmarkStart w:id="24" w:name="_Toc151448050"/>
      <w:bookmarkStart w:id="25" w:name="_Toc177903620"/>
      <w:bookmarkStart w:id="26" w:name="_Toc160713021"/>
      <w:bookmarkStart w:id="27" w:name="_Toc160688949"/>
      <w:r>
        <w:rPr>
          <w:rFonts w:hint="eastAsia"/>
          <w:spacing w:val="320"/>
        </w:rPr>
        <w:t>目</w:t>
      </w:r>
      <w:r>
        <w:rPr>
          <w:rFonts w:hint="eastAsia"/>
        </w:rPr>
        <w:t>次</w:t>
      </w:r>
    </w:p>
    <w:p w14:paraId="650D2600">
      <w:pPr>
        <w:pStyle w:val="19"/>
        <w:tabs>
          <w:tab w:val="right" w:leader="dot" w:pos="9344"/>
        </w:tabs>
        <w:rPr>
          <w:rFonts w:asciiTheme="minorHAnsi" w:hAnsiTheme="minorHAnsi" w:eastAsiaTheme="minorEastAsia" w:cstheme="minorBidi"/>
          <w:szCs w:val="22"/>
        </w:rPr>
      </w:pPr>
      <w:r>
        <w:fldChar w:fldCharType="begin"/>
      </w:r>
      <w:r>
        <w:instrText xml:space="preserve"> TOC \o "1-1" \h </w:instrText>
      </w:r>
      <w:r>
        <w:fldChar w:fldCharType="separate"/>
      </w:r>
      <w:r>
        <w:fldChar w:fldCharType="begin"/>
      </w:r>
      <w:r>
        <w:instrText xml:space="preserve"> HYPERLINK \l "_Toc178863160" </w:instrText>
      </w:r>
      <w:r>
        <w:fldChar w:fldCharType="separate"/>
      </w:r>
      <w:r>
        <w:rPr>
          <w:rStyle w:val="32"/>
          <w:rFonts w:hint="eastAsia"/>
        </w:rPr>
        <w:t>前言</w:t>
      </w:r>
      <w:r>
        <w:tab/>
      </w:r>
      <w:r>
        <w:fldChar w:fldCharType="begin"/>
      </w:r>
      <w:r>
        <w:instrText xml:space="preserve"> PAGEREF _Toc178863160 \h </w:instrText>
      </w:r>
      <w:r>
        <w:fldChar w:fldCharType="separate"/>
      </w:r>
      <w:r>
        <w:t>II</w:t>
      </w:r>
      <w:r>
        <w:fldChar w:fldCharType="end"/>
      </w:r>
      <w:r>
        <w:fldChar w:fldCharType="end"/>
      </w:r>
    </w:p>
    <w:p w14:paraId="41154494">
      <w:pPr>
        <w:pStyle w:val="19"/>
        <w:tabs>
          <w:tab w:val="right" w:leader="dot" w:pos="9344"/>
        </w:tabs>
        <w:rPr>
          <w:rFonts w:asciiTheme="minorHAnsi" w:hAnsiTheme="minorHAnsi" w:eastAsiaTheme="minorEastAsia" w:cstheme="minorBidi"/>
          <w:szCs w:val="22"/>
        </w:rPr>
      </w:pPr>
      <w:r>
        <w:fldChar w:fldCharType="begin"/>
      </w:r>
      <w:r>
        <w:instrText xml:space="preserve"> HYPERLINK \l "_Toc178863161" </w:instrText>
      </w:r>
      <w:r>
        <w:fldChar w:fldCharType="separate"/>
      </w:r>
      <w:r>
        <w:rPr>
          <w:rStyle w:val="32"/>
        </w:rPr>
        <w:t xml:space="preserve">1 </w:t>
      </w:r>
      <w:r>
        <w:rPr>
          <w:rStyle w:val="32"/>
          <w:rFonts w:hint="eastAsia"/>
        </w:rPr>
        <w:t xml:space="preserve"> 范围</w:t>
      </w:r>
      <w:r>
        <w:tab/>
      </w:r>
      <w:r>
        <w:fldChar w:fldCharType="begin"/>
      </w:r>
      <w:r>
        <w:instrText xml:space="preserve"> PAGEREF _Toc178863161 \h </w:instrText>
      </w:r>
      <w:r>
        <w:fldChar w:fldCharType="separate"/>
      </w:r>
      <w:r>
        <w:t>1</w:t>
      </w:r>
      <w:r>
        <w:fldChar w:fldCharType="end"/>
      </w:r>
      <w:r>
        <w:fldChar w:fldCharType="end"/>
      </w:r>
    </w:p>
    <w:p w14:paraId="3D8C875A">
      <w:pPr>
        <w:pStyle w:val="19"/>
        <w:tabs>
          <w:tab w:val="right" w:leader="dot" w:pos="9344"/>
        </w:tabs>
        <w:rPr>
          <w:rFonts w:asciiTheme="minorHAnsi" w:hAnsiTheme="minorHAnsi" w:eastAsiaTheme="minorEastAsia" w:cstheme="minorBidi"/>
          <w:szCs w:val="22"/>
        </w:rPr>
      </w:pPr>
      <w:r>
        <w:fldChar w:fldCharType="begin"/>
      </w:r>
      <w:r>
        <w:instrText xml:space="preserve"> HYPERLINK \l "_Toc178863162" </w:instrText>
      </w:r>
      <w:r>
        <w:fldChar w:fldCharType="separate"/>
      </w:r>
      <w:r>
        <w:rPr>
          <w:rStyle w:val="32"/>
        </w:rPr>
        <w:t xml:space="preserve">2 </w:t>
      </w:r>
      <w:r>
        <w:rPr>
          <w:rStyle w:val="32"/>
          <w:rFonts w:hint="eastAsia"/>
        </w:rPr>
        <w:t xml:space="preserve"> 规范性引用文件</w:t>
      </w:r>
      <w:r>
        <w:tab/>
      </w:r>
      <w:r>
        <w:fldChar w:fldCharType="begin"/>
      </w:r>
      <w:r>
        <w:instrText xml:space="preserve"> PAGEREF _Toc178863162 \h </w:instrText>
      </w:r>
      <w:r>
        <w:fldChar w:fldCharType="separate"/>
      </w:r>
      <w:r>
        <w:t>1</w:t>
      </w:r>
      <w:r>
        <w:fldChar w:fldCharType="end"/>
      </w:r>
      <w:r>
        <w:fldChar w:fldCharType="end"/>
      </w:r>
    </w:p>
    <w:p w14:paraId="659A41F8">
      <w:pPr>
        <w:pStyle w:val="19"/>
        <w:tabs>
          <w:tab w:val="right" w:leader="dot" w:pos="9344"/>
        </w:tabs>
        <w:rPr>
          <w:rFonts w:asciiTheme="minorHAnsi" w:hAnsiTheme="minorHAnsi" w:eastAsiaTheme="minorEastAsia" w:cstheme="minorBidi"/>
          <w:szCs w:val="22"/>
        </w:rPr>
      </w:pPr>
      <w:r>
        <w:fldChar w:fldCharType="begin"/>
      </w:r>
      <w:r>
        <w:instrText xml:space="preserve"> HYPERLINK \l "_Toc178863163" </w:instrText>
      </w:r>
      <w:r>
        <w:fldChar w:fldCharType="separate"/>
      </w:r>
      <w:r>
        <w:rPr>
          <w:rStyle w:val="32"/>
        </w:rPr>
        <w:t xml:space="preserve">3 </w:t>
      </w:r>
      <w:r>
        <w:rPr>
          <w:rStyle w:val="32"/>
          <w:rFonts w:hint="eastAsia"/>
        </w:rPr>
        <w:t xml:space="preserve"> 术语和定义</w:t>
      </w:r>
      <w:r>
        <w:tab/>
      </w:r>
      <w:r>
        <w:fldChar w:fldCharType="begin"/>
      </w:r>
      <w:r>
        <w:instrText xml:space="preserve"> PAGEREF _Toc178863163 \h </w:instrText>
      </w:r>
      <w:r>
        <w:fldChar w:fldCharType="separate"/>
      </w:r>
      <w:r>
        <w:t>1</w:t>
      </w:r>
      <w:r>
        <w:fldChar w:fldCharType="end"/>
      </w:r>
      <w:r>
        <w:fldChar w:fldCharType="end"/>
      </w:r>
    </w:p>
    <w:p w14:paraId="69782C07">
      <w:pPr>
        <w:pStyle w:val="19"/>
        <w:tabs>
          <w:tab w:val="right" w:leader="dot" w:pos="9344"/>
        </w:tabs>
        <w:rPr>
          <w:rFonts w:asciiTheme="minorHAnsi" w:hAnsiTheme="minorHAnsi" w:eastAsiaTheme="minorEastAsia" w:cstheme="minorBidi"/>
          <w:szCs w:val="22"/>
        </w:rPr>
      </w:pPr>
      <w:r>
        <w:fldChar w:fldCharType="begin"/>
      </w:r>
      <w:r>
        <w:instrText xml:space="preserve"> HYPERLINK \l "_Toc178863164" </w:instrText>
      </w:r>
      <w:r>
        <w:fldChar w:fldCharType="separate"/>
      </w:r>
      <w:r>
        <w:rPr>
          <w:rStyle w:val="32"/>
        </w:rPr>
        <w:t xml:space="preserve">4 </w:t>
      </w:r>
      <w:r>
        <w:rPr>
          <w:rStyle w:val="32"/>
          <w:rFonts w:hint="eastAsia"/>
        </w:rPr>
        <w:t xml:space="preserve"> 监测点布设</w:t>
      </w:r>
      <w:r>
        <w:tab/>
      </w:r>
      <w:r>
        <w:fldChar w:fldCharType="begin"/>
      </w:r>
      <w:r>
        <w:instrText xml:space="preserve"> PAGEREF _Toc178863164 \h </w:instrText>
      </w:r>
      <w:r>
        <w:fldChar w:fldCharType="separate"/>
      </w:r>
      <w:r>
        <w:t>1</w:t>
      </w:r>
      <w:r>
        <w:fldChar w:fldCharType="end"/>
      </w:r>
      <w:r>
        <w:fldChar w:fldCharType="end"/>
      </w:r>
    </w:p>
    <w:p w14:paraId="1226524E">
      <w:pPr>
        <w:pStyle w:val="19"/>
        <w:tabs>
          <w:tab w:val="right" w:leader="dot" w:pos="9344"/>
        </w:tabs>
        <w:rPr>
          <w:rFonts w:asciiTheme="minorHAnsi" w:hAnsiTheme="minorHAnsi" w:eastAsiaTheme="minorEastAsia" w:cstheme="minorBidi"/>
          <w:szCs w:val="22"/>
        </w:rPr>
      </w:pPr>
      <w:r>
        <w:fldChar w:fldCharType="begin"/>
      </w:r>
      <w:r>
        <w:instrText xml:space="preserve"> HYPERLINK \l "_Toc178863165" </w:instrText>
      </w:r>
      <w:r>
        <w:fldChar w:fldCharType="separate"/>
      </w:r>
      <w:r>
        <w:rPr>
          <w:rStyle w:val="32"/>
        </w:rPr>
        <w:t xml:space="preserve">5 </w:t>
      </w:r>
      <w:r>
        <w:rPr>
          <w:rStyle w:val="32"/>
          <w:rFonts w:hint="eastAsia"/>
        </w:rPr>
        <w:t xml:space="preserve"> 监测要素</w:t>
      </w:r>
      <w:r>
        <w:tab/>
      </w:r>
      <w:r>
        <w:fldChar w:fldCharType="begin"/>
      </w:r>
      <w:r>
        <w:instrText xml:space="preserve"> PAGEREF _Toc178863165 \h </w:instrText>
      </w:r>
      <w:r>
        <w:fldChar w:fldCharType="separate"/>
      </w:r>
      <w:r>
        <w:t>2</w:t>
      </w:r>
      <w:r>
        <w:fldChar w:fldCharType="end"/>
      </w:r>
      <w:r>
        <w:fldChar w:fldCharType="end"/>
      </w:r>
    </w:p>
    <w:p w14:paraId="31AFB9C2">
      <w:pPr>
        <w:pStyle w:val="19"/>
        <w:tabs>
          <w:tab w:val="right" w:leader="dot" w:pos="9344"/>
        </w:tabs>
        <w:rPr>
          <w:rFonts w:asciiTheme="minorHAnsi" w:hAnsiTheme="minorHAnsi" w:eastAsiaTheme="minorEastAsia" w:cstheme="minorBidi"/>
          <w:szCs w:val="22"/>
        </w:rPr>
      </w:pPr>
      <w:r>
        <w:fldChar w:fldCharType="begin"/>
      </w:r>
      <w:r>
        <w:instrText xml:space="preserve"> HYPERLINK \l "_Toc178863166" </w:instrText>
      </w:r>
      <w:r>
        <w:fldChar w:fldCharType="separate"/>
      </w:r>
      <w:r>
        <w:rPr>
          <w:rStyle w:val="32"/>
        </w:rPr>
        <w:t xml:space="preserve">6 </w:t>
      </w:r>
      <w:r>
        <w:rPr>
          <w:rStyle w:val="32"/>
          <w:rFonts w:hint="eastAsia"/>
        </w:rPr>
        <w:t xml:space="preserve"> 监测仪器要求及维护</w:t>
      </w:r>
      <w:r>
        <w:tab/>
      </w:r>
      <w:r>
        <w:fldChar w:fldCharType="begin"/>
      </w:r>
      <w:r>
        <w:instrText xml:space="preserve"> PAGEREF _Toc178863166 \h </w:instrText>
      </w:r>
      <w:r>
        <w:fldChar w:fldCharType="separate"/>
      </w:r>
      <w:r>
        <w:t>2</w:t>
      </w:r>
      <w:r>
        <w:fldChar w:fldCharType="end"/>
      </w:r>
      <w:r>
        <w:fldChar w:fldCharType="end"/>
      </w:r>
    </w:p>
    <w:p w14:paraId="28B412D0">
      <w:pPr>
        <w:pStyle w:val="19"/>
        <w:tabs>
          <w:tab w:val="right" w:leader="dot" w:pos="9344"/>
        </w:tabs>
        <w:rPr>
          <w:rFonts w:asciiTheme="minorHAnsi" w:hAnsiTheme="minorHAnsi" w:eastAsiaTheme="minorEastAsia" w:cstheme="minorBidi"/>
          <w:szCs w:val="22"/>
        </w:rPr>
      </w:pPr>
      <w:r>
        <w:fldChar w:fldCharType="begin"/>
      </w:r>
      <w:r>
        <w:instrText xml:space="preserve"> HYPERLINK \l "_Toc178863167" </w:instrText>
      </w:r>
      <w:r>
        <w:fldChar w:fldCharType="separate"/>
      </w:r>
      <w:r>
        <w:rPr>
          <w:rStyle w:val="32"/>
        </w:rPr>
        <w:t xml:space="preserve">7 </w:t>
      </w:r>
      <w:r>
        <w:rPr>
          <w:rStyle w:val="32"/>
          <w:rFonts w:hint="eastAsia"/>
        </w:rPr>
        <w:t xml:space="preserve"> 监测数据文件</w:t>
      </w:r>
      <w:r>
        <w:tab/>
      </w:r>
      <w:r>
        <w:fldChar w:fldCharType="begin"/>
      </w:r>
      <w:r>
        <w:instrText xml:space="preserve"> PAGEREF _Toc178863167 \h </w:instrText>
      </w:r>
      <w:r>
        <w:fldChar w:fldCharType="separate"/>
      </w:r>
      <w:r>
        <w:t>3</w:t>
      </w:r>
      <w:r>
        <w:fldChar w:fldCharType="end"/>
      </w:r>
      <w:r>
        <w:fldChar w:fldCharType="end"/>
      </w:r>
    </w:p>
    <w:p w14:paraId="7FCA54D7">
      <w:pPr>
        <w:pStyle w:val="19"/>
        <w:tabs>
          <w:tab w:val="right" w:leader="dot" w:pos="9344"/>
        </w:tabs>
        <w:rPr>
          <w:rFonts w:asciiTheme="minorHAnsi" w:hAnsiTheme="minorHAnsi" w:eastAsiaTheme="minorEastAsia" w:cstheme="minorBidi"/>
          <w:szCs w:val="22"/>
        </w:rPr>
      </w:pPr>
      <w:r>
        <w:fldChar w:fldCharType="begin"/>
      </w:r>
      <w:r>
        <w:instrText xml:space="preserve"> HYPERLINK \l "_Toc178863168" </w:instrText>
      </w:r>
      <w:r>
        <w:fldChar w:fldCharType="separate"/>
      </w:r>
      <w:r>
        <w:rPr>
          <w:rStyle w:val="32"/>
          <w:rFonts w:hint="eastAsia"/>
        </w:rPr>
        <w:t>附录A（资料性）</w:t>
      </w:r>
      <w:r>
        <w:rPr>
          <w:rStyle w:val="32"/>
        </w:rPr>
        <w:t xml:space="preserve">  </w:t>
      </w:r>
      <w:r>
        <w:rPr>
          <w:rStyle w:val="32"/>
          <w:rFonts w:hint="eastAsia"/>
        </w:rPr>
        <w:t>牛舍区域监测仪器布设位置</w:t>
      </w:r>
      <w:r>
        <w:tab/>
      </w:r>
      <w:r>
        <w:fldChar w:fldCharType="begin"/>
      </w:r>
      <w:r>
        <w:instrText xml:space="preserve"> PAGEREF _Toc178863168 \h </w:instrText>
      </w:r>
      <w:r>
        <w:fldChar w:fldCharType="separate"/>
      </w:r>
      <w:r>
        <w:t>4</w:t>
      </w:r>
      <w:r>
        <w:fldChar w:fldCharType="end"/>
      </w:r>
      <w:r>
        <w:fldChar w:fldCharType="end"/>
      </w:r>
    </w:p>
    <w:p w14:paraId="79647CDF">
      <w:pPr>
        <w:pStyle w:val="91"/>
        <w:spacing w:after="468"/>
        <w:sectPr>
          <w:headerReference r:id="rId11" w:type="default"/>
          <w:footerReference r:id="rId13" w:type="default"/>
          <w:headerReference r:id="rId12" w:type="even"/>
          <w:pgSz w:w="11906" w:h="16838"/>
          <w:pgMar w:top="2410" w:right="1134" w:bottom="1134" w:left="1134" w:header="1418" w:footer="1134" w:gutter="284"/>
          <w:pgNumType w:fmt="upperRoman" w:start="1"/>
          <w:cols w:space="425" w:num="1"/>
          <w:formProt w:val="0"/>
          <w:docGrid w:type="lines" w:linePitch="312" w:charSpace="0"/>
        </w:sectPr>
      </w:pPr>
      <w:r>
        <w:fldChar w:fldCharType="end"/>
      </w:r>
    </w:p>
    <w:bookmarkEnd w:id="19"/>
    <w:p w14:paraId="302C848D">
      <w:pPr>
        <w:pStyle w:val="89"/>
        <w:spacing w:after="468"/>
      </w:pPr>
      <w:bookmarkStart w:id="28" w:name="_Toc178863160"/>
      <w:bookmarkStart w:id="29" w:name="BookMark2"/>
      <w:r>
        <w:rPr>
          <w:spacing w:val="320"/>
        </w:rPr>
        <w:t>前</w:t>
      </w:r>
      <w:r>
        <w:t>言</w:t>
      </w:r>
      <w:bookmarkEnd w:id="20"/>
      <w:bookmarkEnd w:id="21"/>
      <w:bookmarkEnd w:id="22"/>
      <w:bookmarkEnd w:id="23"/>
      <w:bookmarkEnd w:id="24"/>
      <w:bookmarkEnd w:id="25"/>
      <w:bookmarkEnd w:id="26"/>
      <w:bookmarkEnd w:id="27"/>
      <w:bookmarkEnd w:id="28"/>
    </w:p>
    <w:p w14:paraId="7020D435">
      <w:pPr>
        <w:pStyle w:val="56"/>
        <w:ind w:firstLine="420"/>
      </w:pPr>
      <w:r>
        <w:rPr>
          <w:rFonts w:hint="eastAsia"/>
        </w:rPr>
        <w:t>本文件按照GB/T 1.1—2020《标准化工作导则  第1部分：标准化文件的结构和起草规则》的规定起草。</w:t>
      </w:r>
    </w:p>
    <w:p w14:paraId="704D1ADD">
      <w:pPr>
        <w:pStyle w:val="56"/>
        <w:ind w:firstLine="420"/>
      </w:pPr>
      <w:r>
        <w:rPr>
          <w:rFonts w:hint="eastAsia"/>
        </w:rPr>
        <w:t>请注意本文件的某些内容可能涉及专利。本文件的发布机构不承担识别专利的责任。</w:t>
      </w:r>
    </w:p>
    <w:p w14:paraId="66079503">
      <w:pPr>
        <w:pStyle w:val="56"/>
        <w:ind w:firstLine="420"/>
        <w:rPr>
          <w:rFonts w:hint="eastAsia"/>
          <w:lang w:eastAsia="zh-CN"/>
        </w:rPr>
      </w:pPr>
      <w:r>
        <w:rPr>
          <w:rFonts w:hint="eastAsia"/>
        </w:rPr>
        <w:t>本文件由江苏省气象局提出并组织实施</w:t>
      </w:r>
      <w:r>
        <w:rPr>
          <w:rFonts w:hint="eastAsia"/>
          <w:lang w:eastAsia="zh-CN"/>
        </w:rPr>
        <w:t>。</w:t>
      </w:r>
    </w:p>
    <w:p w14:paraId="51CBCCD6">
      <w:pPr>
        <w:pStyle w:val="56"/>
        <w:ind w:firstLine="420"/>
      </w:pPr>
      <w:r>
        <w:rPr>
          <w:rFonts w:hint="eastAsia"/>
          <w:lang w:val="en-US" w:eastAsia="zh-CN"/>
        </w:rPr>
        <w:t>本文件由</w:t>
      </w:r>
      <w:bookmarkStart w:id="153" w:name="_GoBack"/>
      <w:bookmarkEnd w:id="153"/>
      <w:r>
        <w:rPr>
          <w:rFonts w:hint="eastAsia"/>
        </w:rPr>
        <w:t>江苏省气象标准化技术委员会归口。</w:t>
      </w:r>
    </w:p>
    <w:p w14:paraId="70D069B6">
      <w:pPr>
        <w:pStyle w:val="56"/>
        <w:ind w:firstLine="420"/>
      </w:pPr>
      <w:r>
        <w:rPr>
          <w:rFonts w:hint="eastAsia"/>
        </w:rPr>
        <w:t>本文件起草单位：江苏省气象服务中心、南京卫岗乳业有限公司、江苏省农业科学院、南京农业大学、江苏省环境监测中心、江苏省气象探测中心、江苏省质量和标准化研究院。</w:t>
      </w:r>
    </w:p>
    <w:p w14:paraId="76ED1AF7">
      <w:pPr>
        <w:pStyle w:val="56"/>
        <w:ind w:firstLine="420"/>
      </w:pPr>
      <w:r>
        <w:rPr>
          <w:rFonts w:hint="eastAsia"/>
        </w:rPr>
        <w:t>本文件主要起草人：史潇、</w:t>
      </w:r>
      <w:r>
        <w:t>罗晓春</w:t>
      </w:r>
      <w:r>
        <w:rPr>
          <w:rFonts w:hint="eastAsia"/>
        </w:rPr>
        <w:t>、张顾、田雨、林志平、杜静、刘琰、秦艳红、陈圣劼、杨敏、蔡亚非、魏胜娟、任义方、徐敏。</w:t>
      </w:r>
    </w:p>
    <w:p w14:paraId="064B778A">
      <w:pPr>
        <w:pStyle w:val="56"/>
        <w:ind w:firstLine="199" w:firstLineChars="95"/>
        <w:sectPr>
          <w:pgSz w:w="11906" w:h="16838"/>
          <w:pgMar w:top="2410" w:right="1134" w:bottom="1134" w:left="1134" w:header="1418" w:footer="1134" w:gutter="284"/>
          <w:pgNumType w:fmt="upperRoman"/>
          <w:cols w:space="425" w:num="1"/>
          <w:formProt w:val="0"/>
          <w:docGrid w:type="lines" w:linePitch="312" w:charSpace="0"/>
        </w:sectPr>
      </w:pPr>
    </w:p>
    <w:bookmarkEnd w:id="29"/>
    <w:p w14:paraId="0C0D6FE0">
      <w:pPr>
        <w:spacing w:line="20" w:lineRule="exact"/>
        <w:jc w:val="center"/>
        <w:rPr>
          <w:rFonts w:ascii="黑体" w:hAnsi="黑体" w:eastAsia="黑体"/>
          <w:sz w:val="32"/>
          <w:szCs w:val="32"/>
        </w:rPr>
      </w:pPr>
      <w:bookmarkStart w:id="30" w:name="BookMark4"/>
    </w:p>
    <w:p w14:paraId="784FB11A">
      <w:pPr>
        <w:spacing w:line="20" w:lineRule="exact"/>
        <w:jc w:val="center"/>
        <w:rPr>
          <w:rFonts w:ascii="黑体" w:hAnsi="黑体" w:eastAsia="黑体"/>
          <w:sz w:val="32"/>
          <w:szCs w:val="32"/>
        </w:rPr>
      </w:pPr>
    </w:p>
    <w:sdt>
      <w:sdtPr>
        <w:tag w:val="NEW_STAND_NAME"/>
        <w:id w:val="595910757"/>
        <w:lock w:val="sdtLocked"/>
        <w:placeholder>
          <w:docPart w:val="A9C15F0E073C482998478E585EEEE1EF"/>
        </w:placeholder>
      </w:sdtPr>
      <w:sdtContent>
        <w:p w14:paraId="2DA08301">
          <w:pPr>
            <w:pStyle w:val="177"/>
            <w:spacing w:before="3" w:beforeLines="1" w:after="3" w:afterLines="1"/>
          </w:pPr>
          <w:bookmarkStart w:id="31" w:name="NEW_STAND_NAME"/>
          <w:r>
            <w:rPr>
              <w:rFonts w:hint="eastAsia"/>
            </w:rPr>
            <w:t>规模化奶牛场小气候自动监测</w:t>
          </w:r>
        </w:p>
        <w:p w14:paraId="35FAA9E9">
          <w:pPr>
            <w:pStyle w:val="177"/>
            <w:spacing w:before="3" w:beforeLines="1" w:after="680"/>
          </w:pPr>
          <w:r>
            <w:rPr>
              <w:rFonts w:hint="eastAsia"/>
            </w:rPr>
            <w:t>技术规范</w:t>
          </w:r>
        </w:p>
      </w:sdtContent>
    </w:sdt>
    <w:bookmarkEnd w:id="31"/>
    <w:p w14:paraId="542570EE">
      <w:pPr>
        <w:pStyle w:val="104"/>
        <w:spacing w:before="312" w:after="312"/>
      </w:pPr>
      <w:bookmarkStart w:id="32" w:name="_Toc26986771"/>
      <w:bookmarkStart w:id="33" w:name="_Toc17233325"/>
      <w:bookmarkStart w:id="34" w:name="_Toc26718930"/>
      <w:bookmarkStart w:id="35" w:name="_Toc178858752"/>
      <w:bookmarkStart w:id="36" w:name="_Toc177903642"/>
      <w:bookmarkStart w:id="37" w:name="_Toc177903621"/>
      <w:bookmarkStart w:id="38" w:name="_Toc17233333"/>
      <w:bookmarkStart w:id="39" w:name="_Toc160713022"/>
      <w:bookmarkStart w:id="40" w:name="_Toc26986530"/>
      <w:bookmarkStart w:id="41" w:name="_Toc154579490"/>
      <w:bookmarkStart w:id="42" w:name="_Toc26648465"/>
      <w:bookmarkStart w:id="43" w:name="_Toc151448051"/>
      <w:bookmarkStart w:id="44" w:name="_Toc178863161"/>
      <w:bookmarkStart w:id="45" w:name="_Toc24884211"/>
      <w:bookmarkStart w:id="46" w:name="_Toc160688972"/>
      <w:bookmarkStart w:id="47" w:name="_Toc24884218"/>
      <w:bookmarkStart w:id="48" w:name="_Toc160688950"/>
      <w:r>
        <w:rPr>
          <w:rFonts w:hint="eastAsia"/>
        </w:rPr>
        <w:t>范围</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2F0C0CBE">
      <w:pPr>
        <w:pStyle w:val="56"/>
        <w:ind w:firstLine="420"/>
      </w:pPr>
      <w:bookmarkStart w:id="49" w:name="_Toc24884219"/>
      <w:bookmarkStart w:id="50" w:name="_Toc17233326"/>
      <w:bookmarkStart w:id="51" w:name="_Toc24884212"/>
      <w:bookmarkStart w:id="52" w:name="_Toc17233334"/>
      <w:bookmarkStart w:id="53" w:name="_Toc26648466"/>
      <w:r>
        <w:rPr>
          <w:rFonts w:hint="eastAsia"/>
        </w:rPr>
        <w:t>本文件规定了规模化奶牛场小气候自动监测的监测点布设、监测要素、监测仪器及设备维护、监测数据文件等要求。</w:t>
      </w:r>
    </w:p>
    <w:p w14:paraId="7DFA7A68">
      <w:pPr>
        <w:pStyle w:val="56"/>
        <w:ind w:firstLine="420"/>
      </w:pPr>
      <w:r>
        <w:rPr>
          <w:rFonts w:hint="eastAsia"/>
        </w:rPr>
        <w:t>本文件适用于规模化奶牛场小气候的自动监测。</w:t>
      </w:r>
    </w:p>
    <w:p w14:paraId="442B2531">
      <w:pPr>
        <w:pStyle w:val="104"/>
        <w:spacing w:before="312" w:after="312"/>
      </w:pPr>
      <w:bookmarkStart w:id="54" w:name="_Toc26986531"/>
      <w:bookmarkStart w:id="55" w:name="_Toc151448052"/>
      <w:bookmarkStart w:id="56" w:name="_Toc178863162"/>
      <w:bookmarkStart w:id="57" w:name="_Toc160713023"/>
      <w:bookmarkStart w:id="58" w:name="_Toc177903643"/>
      <w:bookmarkStart w:id="59" w:name="_Toc160688973"/>
      <w:bookmarkStart w:id="60" w:name="_Toc154579491"/>
      <w:bookmarkStart w:id="61" w:name="_Toc177903622"/>
      <w:bookmarkStart w:id="62" w:name="_Toc160688951"/>
      <w:bookmarkStart w:id="63" w:name="_Toc26718931"/>
      <w:bookmarkStart w:id="64" w:name="_Toc178858753"/>
      <w:bookmarkStart w:id="65" w:name="_Toc26986772"/>
      <w:r>
        <w:rPr>
          <w:rFonts w:hint="eastAsia"/>
        </w:rPr>
        <w:t>规范性引用文件</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sdt>
      <w:sdtPr>
        <w:rPr>
          <w:rFonts w:hint="eastAsia"/>
        </w:rPr>
        <w:id w:val="715848253"/>
        <w:placeholder>
          <w:docPart w:val="AC437A730A3041528707D99FAC38156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109D7539">
          <w:pPr>
            <w:pStyle w:val="56"/>
            <w:ind w:firstLine="420"/>
          </w:pPr>
          <w:r>
            <w:rPr>
              <w:rFonts w:hint="eastAsia"/>
            </w:rPr>
            <w:t>本文件没有规范性引用文件。</w:t>
          </w:r>
        </w:p>
      </w:sdtContent>
    </w:sdt>
    <w:p w14:paraId="74F729EC">
      <w:pPr>
        <w:pStyle w:val="104"/>
        <w:spacing w:before="312" w:after="312"/>
      </w:pPr>
      <w:bookmarkStart w:id="66" w:name="_Toc178858754"/>
      <w:bookmarkStart w:id="67" w:name="_Toc160713024"/>
      <w:bookmarkStart w:id="68" w:name="_Toc177903644"/>
      <w:bookmarkStart w:id="69" w:name="_Toc154579492"/>
      <w:bookmarkStart w:id="70" w:name="_Toc151448053"/>
      <w:bookmarkStart w:id="71" w:name="_Toc160688974"/>
      <w:bookmarkStart w:id="72" w:name="_Toc160688952"/>
      <w:bookmarkStart w:id="73" w:name="_Toc178863163"/>
      <w:bookmarkStart w:id="74" w:name="_Toc177903623"/>
      <w:r>
        <w:rPr>
          <w:rFonts w:hint="eastAsia"/>
          <w:szCs w:val="21"/>
        </w:rPr>
        <w:t>术语和定义</w:t>
      </w:r>
      <w:bookmarkEnd w:id="66"/>
      <w:bookmarkEnd w:id="67"/>
      <w:bookmarkEnd w:id="68"/>
      <w:bookmarkEnd w:id="69"/>
      <w:bookmarkEnd w:id="70"/>
      <w:bookmarkEnd w:id="71"/>
      <w:bookmarkEnd w:id="72"/>
      <w:bookmarkEnd w:id="73"/>
      <w:bookmarkEnd w:id="74"/>
    </w:p>
    <w:sdt>
      <w:sdtPr>
        <w:id w:val="-1909835108"/>
        <w:placeholder>
          <w:docPart w:val="1149536501D64E4D9B85957EABA9F84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highlight w:val="yellow"/>
        </w:rPr>
      </w:sdtEndPr>
      <w:sdtContent>
        <w:p w14:paraId="12898BE5">
          <w:pPr>
            <w:pStyle w:val="56"/>
            <w:ind w:firstLine="420"/>
          </w:pPr>
          <w:bookmarkStart w:id="75" w:name="_Toc26986532"/>
          <w:bookmarkEnd w:id="75"/>
          <w:r>
            <w:t>下列术语和定义适用于本文件。</w:t>
          </w:r>
        </w:p>
      </w:sdtContent>
    </w:sdt>
    <w:p w14:paraId="191CC29E">
      <w:pPr>
        <w:pStyle w:val="223"/>
        <w:ind w:left="420" w:hanging="420" w:hangingChars="200"/>
        <w:rPr>
          <w:rFonts w:ascii="黑体" w:hAnsi="黑体" w:eastAsia="黑体"/>
        </w:rPr>
      </w:pPr>
      <w:r>
        <w:rPr>
          <w:rFonts w:ascii="黑体" w:hAnsi="黑体" w:eastAsia="黑体"/>
        </w:rPr>
        <w:br w:type="textWrapping"/>
      </w:r>
      <w:r>
        <w:rPr>
          <w:rFonts w:ascii="黑体" w:hAnsi="黑体" w:eastAsia="黑体"/>
        </w:rPr>
        <w:t>规模化奶牛场</w:t>
      </w:r>
      <w:r>
        <w:rPr>
          <w:rFonts w:hint="eastAsia" w:ascii="黑体" w:hAnsi="黑体" w:eastAsia="黑体"/>
        </w:rPr>
        <w:t xml:space="preserve"> large-scale dairy farm</w:t>
      </w:r>
    </w:p>
    <w:p w14:paraId="24F04DA3">
      <w:pPr>
        <w:pStyle w:val="56"/>
        <w:ind w:firstLine="420"/>
      </w:pPr>
      <w:r>
        <w:rPr>
          <w:rFonts w:hint="eastAsia"/>
        </w:rPr>
        <w:t>成母牛100头以上奶牛场。</w:t>
      </w:r>
    </w:p>
    <w:p w14:paraId="6C28113A">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规模化奶牛场小气候 large-scale dairy farm microclimate</w:t>
      </w:r>
    </w:p>
    <w:p w14:paraId="64F2E99F">
      <w:pPr>
        <w:pStyle w:val="56"/>
        <w:ind w:firstLine="420"/>
      </w:pPr>
      <w:r>
        <w:rPr>
          <w:rFonts w:hint="eastAsia"/>
        </w:rPr>
        <w:t>受奶牛场设施构造、管理方式以及奶牛活动影响所形成的局地环境气候。</w:t>
      </w:r>
    </w:p>
    <w:p w14:paraId="49590DF5">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小气候自动监测 microclimate automatic observation</w:t>
      </w:r>
    </w:p>
    <w:p w14:paraId="6513CA04">
      <w:pPr>
        <w:pStyle w:val="56"/>
        <w:ind w:firstLine="420"/>
      </w:pPr>
      <w:r>
        <w:rPr>
          <w:rFonts w:hint="eastAsia"/>
        </w:rPr>
        <w:t>采用自动监测仪器对小气候监测要素进行的连续采集、测定。</w:t>
      </w:r>
    </w:p>
    <w:p w14:paraId="1CB4236B">
      <w:pPr>
        <w:pStyle w:val="104"/>
        <w:spacing w:before="312" w:after="312"/>
      </w:pPr>
      <w:bookmarkStart w:id="76" w:name="_Toc178863164"/>
      <w:bookmarkStart w:id="77" w:name="_Toc178858755"/>
      <w:bookmarkStart w:id="78" w:name="_Toc160688953"/>
      <w:bookmarkStart w:id="79" w:name="_Toc177903645"/>
      <w:bookmarkStart w:id="80" w:name="_Toc151448054"/>
      <w:bookmarkStart w:id="81" w:name="_Toc177903624"/>
      <w:bookmarkStart w:id="82" w:name="_Toc160713025"/>
      <w:bookmarkStart w:id="83" w:name="_Toc154579493"/>
      <w:bookmarkStart w:id="84" w:name="_Toc160688975"/>
      <w:r>
        <w:t>监测点布设</w:t>
      </w:r>
      <w:bookmarkEnd w:id="76"/>
      <w:bookmarkEnd w:id="77"/>
      <w:bookmarkEnd w:id="78"/>
      <w:bookmarkEnd w:id="79"/>
      <w:bookmarkEnd w:id="80"/>
      <w:bookmarkEnd w:id="81"/>
      <w:bookmarkEnd w:id="82"/>
      <w:bookmarkEnd w:id="83"/>
      <w:bookmarkEnd w:id="84"/>
    </w:p>
    <w:p w14:paraId="432B9F5E">
      <w:pPr>
        <w:pStyle w:val="105"/>
        <w:spacing w:before="156" w:after="156"/>
      </w:pPr>
      <w:bookmarkStart w:id="85" w:name="_Toc154579494"/>
      <w:bookmarkStart w:id="86" w:name="_Toc160688954"/>
      <w:bookmarkStart w:id="87" w:name="_Toc151448056"/>
      <w:bookmarkStart w:id="88" w:name="_Toc177903625"/>
      <w:r>
        <w:rPr>
          <w:rFonts w:hint="eastAsia"/>
        </w:rPr>
        <w:t>牛舍</w:t>
      </w:r>
      <w:bookmarkEnd w:id="85"/>
      <w:bookmarkEnd w:id="86"/>
      <w:bookmarkEnd w:id="87"/>
      <w:bookmarkEnd w:id="88"/>
    </w:p>
    <w:p w14:paraId="020C708A">
      <w:pPr>
        <w:pStyle w:val="65"/>
        <w:spacing w:before="156" w:after="156"/>
        <w:rPr>
          <w:rFonts w:ascii="宋体" w:eastAsia="宋体"/>
        </w:rPr>
      </w:pPr>
      <w:r>
        <w:rPr>
          <w:rFonts w:hint="eastAsia" w:ascii="宋体" w:eastAsia="宋体"/>
        </w:rPr>
        <w:t>监测点数量依据牛舍面积确定，单个牛舍面积10000 m</w:t>
      </w:r>
      <w:r>
        <w:rPr>
          <w:rFonts w:hint="eastAsia" w:ascii="宋体" w:eastAsia="宋体"/>
          <w:vertAlign w:val="superscript"/>
        </w:rPr>
        <w:t>2</w:t>
      </w:r>
      <w:r>
        <w:rPr>
          <w:rFonts w:hint="eastAsia" w:ascii="宋体" w:eastAsia="宋体"/>
        </w:rPr>
        <w:t>以下宜布设3个，单个牛舍面积10000 m</w:t>
      </w:r>
      <w:r>
        <w:rPr>
          <w:rFonts w:hint="eastAsia" w:ascii="宋体" w:eastAsia="宋体"/>
          <w:vertAlign w:val="superscript"/>
        </w:rPr>
        <w:t>2</w:t>
      </w:r>
      <w:r>
        <w:rPr>
          <w:rFonts w:hint="eastAsia" w:ascii="宋体" w:eastAsia="宋体"/>
        </w:rPr>
        <w:t>以上宜布设5个。</w:t>
      </w:r>
    </w:p>
    <w:p w14:paraId="36ED26D2">
      <w:pPr>
        <w:pStyle w:val="65"/>
        <w:spacing w:before="156" w:after="156"/>
        <w:rPr>
          <w:rFonts w:ascii="宋体" w:eastAsia="宋体"/>
        </w:rPr>
      </w:pPr>
      <w:r>
        <w:rPr>
          <w:rFonts w:hint="eastAsia" w:ascii="宋体" w:eastAsia="宋体"/>
        </w:rPr>
        <w:t>监测点布设位置参考附录A。</w:t>
      </w:r>
    </w:p>
    <w:p w14:paraId="4E6FA568">
      <w:pPr>
        <w:pStyle w:val="65"/>
        <w:spacing w:before="156" w:after="156"/>
        <w:rPr>
          <w:rFonts w:ascii="宋体" w:eastAsia="宋体"/>
        </w:rPr>
      </w:pPr>
      <w:r>
        <w:rPr>
          <w:rFonts w:hint="eastAsia" w:ascii="宋体" w:eastAsia="宋体"/>
        </w:rPr>
        <w:t>监测点应布设在行道附近，应避开风机、喷淋、喷雾、水帘等设施，监测设备应配备防牛只啃咬、防尘的保护罩。</w:t>
      </w:r>
    </w:p>
    <w:p w14:paraId="241F337C">
      <w:pPr>
        <w:pStyle w:val="65"/>
        <w:spacing w:before="156" w:after="156"/>
        <w:rPr>
          <w:rFonts w:ascii="宋体" w:eastAsia="宋体"/>
        </w:rPr>
      </w:pPr>
      <w:r>
        <w:rPr>
          <w:rFonts w:hint="eastAsia" w:ascii="宋体" w:eastAsia="宋体"/>
        </w:rPr>
        <w:t>监测仪器布设高度</w:t>
      </w:r>
      <w:r>
        <w:rPr>
          <w:rFonts w:hint="eastAsia" w:ascii="宋体" w:eastAsia="宋体"/>
          <w:lang w:val="en-US" w:eastAsia="zh-CN"/>
        </w:rPr>
        <w:t>宜</w:t>
      </w:r>
      <w:r>
        <w:rPr>
          <w:rFonts w:hint="eastAsia" w:ascii="宋体" w:eastAsia="宋体"/>
        </w:rPr>
        <w:t>1.5 m～2.</w:t>
      </w:r>
      <w:r>
        <w:rPr>
          <w:rFonts w:hint="eastAsia" w:ascii="宋体" w:eastAsia="宋体"/>
          <w:lang w:val="en-US" w:eastAsia="zh-CN"/>
        </w:rPr>
        <w:t>0</w:t>
      </w:r>
      <w:r>
        <w:rPr>
          <w:rFonts w:hint="eastAsia" w:ascii="宋体" w:eastAsia="宋体"/>
        </w:rPr>
        <w:t xml:space="preserve"> m。</w:t>
      </w:r>
    </w:p>
    <w:p w14:paraId="77397800">
      <w:pPr>
        <w:pStyle w:val="105"/>
        <w:spacing w:before="156" w:after="156"/>
      </w:pPr>
      <w:bookmarkStart w:id="89" w:name="_Toc151448057"/>
      <w:bookmarkStart w:id="90" w:name="_Toc154579495"/>
      <w:bookmarkStart w:id="91" w:name="_Toc177903626"/>
      <w:bookmarkStart w:id="92" w:name="_Toc160688955"/>
      <w:r>
        <w:rPr>
          <w:rFonts w:hint="eastAsia"/>
        </w:rPr>
        <w:t>奶厅</w:t>
      </w:r>
      <w:bookmarkEnd w:id="89"/>
      <w:bookmarkEnd w:id="90"/>
      <w:bookmarkEnd w:id="91"/>
      <w:bookmarkEnd w:id="92"/>
    </w:p>
    <w:p w14:paraId="3AE87097">
      <w:pPr>
        <w:pStyle w:val="65"/>
        <w:spacing w:before="156" w:after="156"/>
        <w:rPr>
          <w:rFonts w:ascii="宋体" w:eastAsia="宋体"/>
        </w:rPr>
      </w:pPr>
      <w:r>
        <w:rPr>
          <w:rFonts w:hint="eastAsia" w:ascii="宋体" w:eastAsia="宋体"/>
        </w:rPr>
        <w:t>监测点数量应不少于1个。</w:t>
      </w:r>
    </w:p>
    <w:p w14:paraId="22CAAB50">
      <w:pPr>
        <w:pStyle w:val="65"/>
        <w:spacing w:before="156" w:after="156"/>
        <w:rPr>
          <w:rFonts w:ascii="宋体" w:eastAsia="宋体"/>
        </w:rPr>
      </w:pPr>
      <w:r>
        <w:rPr>
          <w:rFonts w:hint="eastAsia" w:ascii="宋体" w:eastAsia="宋体"/>
        </w:rPr>
        <w:t>监测点应布设在奶厅中央上方的位置，应避开风机、喷淋、喷雾、水帘等设施。</w:t>
      </w:r>
    </w:p>
    <w:p w14:paraId="05E19D76">
      <w:pPr>
        <w:pStyle w:val="65"/>
        <w:spacing w:before="156" w:after="156"/>
        <w:rPr>
          <w:rFonts w:ascii="宋体" w:eastAsia="宋体"/>
        </w:rPr>
      </w:pPr>
      <w:r>
        <w:rPr>
          <w:rFonts w:hint="eastAsia" w:ascii="宋体" w:eastAsia="宋体"/>
        </w:rPr>
        <w:t>监测仪器布设高度应高于牛体上方0.5 m。</w:t>
      </w:r>
    </w:p>
    <w:p w14:paraId="6689AD04">
      <w:pPr>
        <w:pStyle w:val="105"/>
        <w:spacing w:before="156" w:after="156"/>
      </w:pPr>
      <w:bookmarkStart w:id="93" w:name="_Toc177903627"/>
      <w:bookmarkStart w:id="94" w:name="_Toc160688956"/>
      <w:bookmarkStart w:id="95" w:name="_Toc151448058"/>
      <w:bookmarkStart w:id="96" w:name="_Toc154579496"/>
      <w:r>
        <w:rPr>
          <w:rFonts w:hint="eastAsia"/>
        </w:rPr>
        <w:t>粪污处理区</w:t>
      </w:r>
      <w:bookmarkEnd w:id="93"/>
      <w:bookmarkEnd w:id="94"/>
      <w:bookmarkEnd w:id="95"/>
      <w:bookmarkEnd w:id="96"/>
    </w:p>
    <w:p w14:paraId="5D284E8F">
      <w:pPr>
        <w:pStyle w:val="65"/>
        <w:spacing w:before="156" w:after="156"/>
        <w:rPr>
          <w:rFonts w:ascii="宋体" w:eastAsia="宋体"/>
        </w:rPr>
      </w:pPr>
      <w:r>
        <w:rPr>
          <w:rFonts w:hint="eastAsia" w:ascii="宋体" w:eastAsia="宋体"/>
        </w:rPr>
        <w:t>监测点数量应不少于2个。</w:t>
      </w:r>
    </w:p>
    <w:p w14:paraId="6F8EB144">
      <w:pPr>
        <w:pStyle w:val="65"/>
        <w:spacing w:before="156" w:after="156"/>
        <w:rPr>
          <w:rFonts w:ascii="宋体" w:eastAsia="宋体"/>
        </w:rPr>
      </w:pPr>
      <w:r>
        <w:rPr>
          <w:rFonts w:hint="eastAsia" w:ascii="宋体" w:eastAsia="宋体"/>
        </w:rPr>
        <w:t>监测点应布设在粪污处理区主导风向的下风向30</w:t>
      </w:r>
      <w:r>
        <w:rPr>
          <w:rFonts w:hint="eastAsia" w:ascii="宋体" w:eastAsia="宋体"/>
          <w:lang w:val="en-US" w:eastAsia="zh-CN"/>
        </w:rPr>
        <w:t xml:space="preserve"> </w:t>
      </w:r>
      <w:r>
        <w:rPr>
          <w:rFonts w:hint="eastAsia" w:ascii="宋体" w:eastAsia="宋体"/>
        </w:rPr>
        <w:t>m～50</w:t>
      </w:r>
      <w:r>
        <w:rPr>
          <w:rFonts w:hint="eastAsia" w:ascii="宋体" w:eastAsia="宋体"/>
          <w:lang w:val="en-US" w:eastAsia="zh-CN"/>
        </w:rPr>
        <w:t xml:space="preserve"> </w:t>
      </w:r>
      <w:r>
        <w:rPr>
          <w:rFonts w:hint="eastAsia" w:ascii="宋体" w:eastAsia="宋体"/>
        </w:rPr>
        <w:t>m区域及干粪堆积区，应设立明显标志、四周设置围栏。</w:t>
      </w:r>
    </w:p>
    <w:p w14:paraId="1D972A9E">
      <w:pPr>
        <w:pStyle w:val="65"/>
        <w:spacing w:before="156" w:after="156"/>
        <w:rPr>
          <w:rFonts w:ascii="宋体" w:eastAsia="宋体"/>
        </w:rPr>
      </w:pPr>
      <w:r>
        <w:rPr>
          <w:rFonts w:hint="eastAsia" w:ascii="宋体" w:eastAsia="宋体"/>
        </w:rPr>
        <w:t>监测仪器布设高度</w:t>
      </w:r>
      <w:r>
        <w:rPr>
          <w:rFonts w:hint="eastAsia" w:ascii="宋体" w:eastAsia="宋体"/>
          <w:lang w:val="en-US" w:eastAsia="zh-CN"/>
        </w:rPr>
        <w:t>宜</w:t>
      </w:r>
      <w:r>
        <w:rPr>
          <w:rFonts w:hint="eastAsia" w:ascii="宋体" w:eastAsia="宋体"/>
        </w:rPr>
        <w:t>1.5 m～2.0 m。</w:t>
      </w:r>
    </w:p>
    <w:p w14:paraId="0806EBC3">
      <w:pPr>
        <w:pStyle w:val="105"/>
        <w:spacing w:before="156" w:after="156"/>
      </w:pPr>
      <w:bookmarkStart w:id="97" w:name="_Toc151448055"/>
      <w:bookmarkStart w:id="98" w:name="_Toc154579497"/>
      <w:bookmarkStart w:id="99" w:name="_Toc160688957"/>
      <w:bookmarkStart w:id="100" w:name="_Toc177903628"/>
      <w:bookmarkStart w:id="101" w:name="_Toc151448059"/>
      <w:r>
        <w:rPr>
          <w:rFonts w:hint="eastAsia"/>
        </w:rPr>
        <w:t>场区</w:t>
      </w:r>
      <w:bookmarkEnd w:id="97"/>
      <w:bookmarkEnd w:id="98"/>
      <w:bookmarkEnd w:id="99"/>
      <w:bookmarkEnd w:id="100"/>
    </w:p>
    <w:p w14:paraId="6FFF9901">
      <w:pPr>
        <w:pStyle w:val="65"/>
        <w:spacing w:before="156" w:after="156"/>
        <w:rPr>
          <w:rFonts w:ascii="宋体" w:eastAsia="宋体"/>
        </w:rPr>
      </w:pPr>
      <w:r>
        <w:rPr>
          <w:rFonts w:hint="eastAsia" w:ascii="宋体" w:eastAsia="宋体"/>
        </w:rPr>
        <w:t>监测点数量应不少于1个。</w:t>
      </w:r>
    </w:p>
    <w:p w14:paraId="3A65BFE3">
      <w:pPr>
        <w:pStyle w:val="165"/>
      </w:pPr>
      <w:r>
        <w:t>监测点应</w:t>
      </w:r>
      <w:r>
        <w:rPr>
          <w:rFonts w:hint="eastAsia"/>
        </w:rPr>
        <w:t>避开牛舍、奶厅、粪污处理区等建筑物，选择</w:t>
      </w:r>
      <w:r>
        <w:t>场地平坦</w:t>
      </w:r>
      <w:r>
        <w:rPr>
          <w:rFonts w:hint="eastAsia"/>
        </w:rPr>
        <w:t>、位置</w:t>
      </w:r>
      <w:r>
        <w:t>开阔</w:t>
      </w:r>
      <w:r>
        <w:rPr>
          <w:rFonts w:hint="eastAsia"/>
        </w:rPr>
        <w:t>的区域，</w:t>
      </w:r>
      <w:r>
        <w:t>并应设立明显标志</w:t>
      </w:r>
      <w:r>
        <w:rPr>
          <w:rFonts w:hint="eastAsia"/>
        </w:rPr>
        <w:t>，</w:t>
      </w:r>
      <w:r>
        <w:t>四周设置围栏</w:t>
      </w:r>
      <w:r>
        <w:rPr>
          <w:rFonts w:hint="eastAsia"/>
        </w:rPr>
        <w:t>。</w:t>
      </w:r>
    </w:p>
    <w:p w14:paraId="52BADCCA">
      <w:pPr>
        <w:pStyle w:val="65"/>
        <w:spacing w:before="156" w:after="156"/>
        <w:rPr>
          <w:rFonts w:ascii="宋体" w:eastAsia="宋体"/>
        </w:rPr>
      </w:pPr>
      <w:r>
        <w:rPr>
          <w:rFonts w:hint="eastAsia" w:ascii="宋体" w:eastAsia="宋体"/>
        </w:rPr>
        <w:t>监测仪器布设高度</w:t>
      </w:r>
      <w:r>
        <w:rPr>
          <w:rFonts w:hint="eastAsia" w:ascii="宋体" w:eastAsia="宋体"/>
          <w:lang w:val="en-US" w:eastAsia="zh-CN"/>
        </w:rPr>
        <w:t>宜</w:t>
      </w:r>
      <w:r>
        <w:rPr>
          <w:rFonts w:hint="eastAsia" w:ascii="宋体" w:eastAsia="宋体"/>
        </w:rPr>
        <w:t>1.5 m～2.0 m。</w:t>
      </w:r>
    </w:p>
    <w:p w14:paraId="53E92296">
      <w:pPr>
        <w:pStyle w:val="104"/>
        <w:spacing w:before="312" w:after="312"/>
      </w:pPr>
      <w:bookmarkStart w:id="102" w:name="_Toc160713026"/>
      <w:bookmarkStart w:id="103" w:name="_Toc178863165"/>
      <w:bookmarkStart w:id="104" w:name="_Toc177903646"/>
      <w:bookmarkStart w:id="105" w:name="_Toc160688958"/>
      <w:bookmarkStart w:id="106" w:name="_Toc160688976"/>
      <w:bookmarkStart w:id="107" w:name="_Toc177903629"/>
      <w:bookmarkStart w:id="108" w:name="_Toc178858756"/>
      <w:bookmarkStart w:id="109" w:name="_Toc154579498"/>
      <w:r>
        <w:rPr>
          <w:rFonts w:hint="eastAsia"/>
        </w:rPr>
        <w:t>监测要素</w:t>
      </w:r>
      <w:bookmarkEnd w:id="101"/>
      <w:bookmarkEnd w:id="102"/>
      <w:bookmarkEnd w:id="103"/>
      <w:bookmarkEnd w:id="104"/>
      <w:bookmarkEnd w:id="105"/>
      <w:bookmarkEnd w:id="106"/>
      <w:bookmarkEnd w:id="107"/>
      <w:bookmarkEnd w:id="108"/>
      <w:bookmarkEnd w:id="109"/>
    </w:p>
    <w:p w14:paraId="2753B05B">
      <w:pPr>
        <w:pStyle w:val="56"/>
        <w:ind w:firstLine="420"/>
      </w:pPr>
      <w:r>
        <w:rPr>
          <w:rFonts w:hint="eastAsia"/>
        </w:rPr>
        <w:t>规模化奶牛场不同区域小气候自动监测要素见表1。</w:t>
      </w:r>
    </w:p>
    <w:p w14:paraId="07158138">
      <w:pPr>
        <w:pStyle w:val="112"/>
      </w:pPr>
      <w:r>
        <w:rPr>
          <w:rFonts w:hint="eastAsia"/>
        </w:rPr>
        <w:t>规模化奶牛场不同区域小气候监测要素</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874"/>
        <w:gridCol w:w="1875"/>
        <w:gridCol w:w="1875"/>
        <w:gridCol w:w="1875"/>
        <w:gridCol w:w="1875"/>
      </w:tblGrid>
      <w:tr w14:paraId="367961D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43" w:hRule="atLeast"/>
          <w:tblHeader/>
          <w:jc w:val="center"/>
        </w:trPr>
        <w:tc>
          <w:tcPr>
            <w:tcW w:w="1874" w:type="dxa"/>
            <w:tcBorders>
              <w:top w:val="single" w:color="auto" w:sz="8" w:space="0"/>
              <w:bottom w:val="single" w:color="auto" w:sz="8" w:space="0"/>
            </w:tcBorders>
            <w:shd w:val="clear" w:color="auto" w:fill="auto"/>
            <w:vAlign w:val="center"/>
          </w:tcPr>
          <w:p w14:paraId="6DF4225D">
            <w:pPr>
              <w:spacing w:line="240" w:lineRule="auto"/>
              <w:jc w:val="center"/>
              <w:rPr>
                <w:sz w:val="18"/>
              </w:rPr>
            </w:pPr>
            <w:r>
              <w:rPr>
                <w:rFonts w:hint="eastAsia"/>
                <w:sz w:val="18"/>
              </w:rPr>
              <w:t>监测要素</w:t>
            </w:r>
          </w:p>
        </w:tc>
        <w:tc>
          <w:tcPr>
            <w:tcW w:w="1875" w:type="dxa"/>
            <w:tcBorders>
              <w:top w:val="single" w:color="auto" w:sz="8" w:space="0"/>
              <w:bottom w:val="single" w:color="auto" w:sz="8" w:space="0"/>
            </w:tcBorders>
            <w:shd w:val="clear" w:color="auto" w:fill="auto"/>
            <w:vAlign w:val="center"/>
          </w:tcPr>
          <w:p w14:paraId="48E2B013">
            <w:pPr>
              <w:spacing w:line="240" w:lineRule="auto"/>
              <w:jc w:val="center"/>
              <w:rPr>
                <w:sz w:val="18"/>
              </w:rPr>
            </w:pPr>
            <w:r>
              <w:rPr>
                <w:rFonts w:hint="eastAsia"/>
                <w:sz w:val="18"/>
              </w:rPr>
              <w:t>场区</w:t>
            </w:r>
          </w:p>
        </w:tc>
        <w:tc>
          <w:tcPr>
            <w:tcW w:w="1875" w:type="dxa"/>
            <w:tcBorders>
              <w:top w:val="single" w:color="auto" w:sz="8" w:space="0"/>
              <w:bottom w:val="single" w:color="auto" w:sz="8" w:space="0"/>
            </w:tcBorders>
            <w:shd w:val="clear" w:color="auto" w:fill="auto"/>
            <w:vAlign w:val="center"/>
          </w:tcPr>
          <w:p w14:paraId="7CB0E1C3">
            <w:pPr>
              <w:spacing w:line="240" w:lineRule="auto"/>
              <w:jc w:val="center"/>
              <w:rPr>
                <w:sz w:val="18"/>
              </w:rPr>
            </w:pPr>
            <w:r>
              <w:rPr>
                <w:rFonts w:hint="eastAsia"/>
                <w:sz w:val="18"/>
              </w:rPr>
              <w:t>牛舍</w:t>
            </w:r>
          </w:p>
        </w:tc>
        <w:tc>
          <w:tcPr>
            <w:tcW w:w="1875" w:type="dxa"/>
            <w:tcBorders>
              <w:top w:val="single" w:color="auto" w:sz="8" w:space="0"/>
              <w:bottom w:val="single" w:color="auto" w:sz="8" w:space="0"/>
            </w:tcBorders>
            <w:shd w:val="clear" w:color="auto" w:fill="auto"/>
            <w:vAlign w:val="center"/>
          </w:tcPr>
          <w:p w14:paraId="41761792">
            <w:pPr>
              <w:spacing w:line="240" w:lineRule="auto"/>
              <w:jc w:val="center"/>
              <w:rPr>
                <w:sz w:val="18"/>
              </w:rPr>
            </w:pPr>
            <w:r>
              <w:rPr>
                <w:rFonts w:hint="eastAsia"/>
                <w:sz w:val="18"/>
              </w:rPr>
              <w:t>奶厅</w:t>
            </w:r>
          </w:p>
        </w:tc>
        <w:tc>
          <w:tcPr>
            <w:tcW w:w="1875" w:type="dxa"/>
            <w:tcBorders>
              <w:top w:val="single" w:color="auto" w:sz="8" w:space="0"/>
              <w:bottom w:val="single" w:color="auto" w:sz="8" w:space="0"/>
            </w:tcBorders>
            <w:shd w:val="clear" w:color="auto" w:fill="auto"/>
            <w:vAlign w:val="center"/>
          </w:tcPr>
          <w:p w14:paraId="481FC244">
            <w:pPr>
              <w:spacing w:line="240" w:lineRule="auto"/>
              <w:jc w:val="center"/>
              <w:rPr>
                <w:sz w:val="18"/>
              </w:rPr>
            </w:pPr>
            <w:r>
              <w:rPr>
                <w:rFonts w:hint="eastAsia"/>
                <w:sz w:val="18"/>
              </w:rPr>
              <w:t>粪污处理区</w:t>
            </w:r>
          </w:p>
        </w:tc>
      </w:tr>
      <w:tr w14:paraId="307D1C6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74" w:type="dxa"/>
            <w:tcBorders>
              <w:top w:val="single" w:color="auto" w:sz="8" w:space="0"/>
            </w:tcBorders>
            <w:shd w:val="clear" w:color="auto" w:fill="auto"/>
            <w:vAlign w:val="center"/>
          </w:tcPr>
          <w:p w14:paraId="2AABA925">
            <w:pPr>
              <w:spacing w:line="240" w:lineRule="auto"/>
              <w:jc w:val="center"/>
              <w:rPr>
                <w:rFonts w:ascii="宋体" w:hAnsi="宋体"/>
                <w:sz w:val="18"/>
              </w:rPr>
            </w:pPr>
            <w:r>
              <w:rPr>
                <w:rFonts w:hint="eastAsia" w:ascii="宋体" w:hAnsi="宋体"/>
                <w:sz w:val="18"/>
              </w:rPr>
              <w:t>气温</w:t>
            </w:r>
          </w:p>
        </w:tc>
        <w:tc>
          <w:tcPr>
            <w:tcW w:w="1875" w:type="dxa"/>
            <w:tcBorders>
              <w:top w:val="single" w:color="auto" w:sz="8" w:space="0"/>
            </w:tcBorders>
            <w:shd w:val="clear" w:color="auto" w:fill="auto"/>
            <w:vAlign w:val="center"/>
          </w:tcPr>
          <w:p w14:paraId="50414503">
            <w:pPr>
              <w:pStyle w:val="178"/>
              <w:rPr>
                <w:szCs w:val="24"/>
              </w:rPr>
            </w:pPr>
            <w:r>
              <w:rPr>
                <w:rFonts w:hint="eastAsia"/>
                <w:szCs w:val="24"/>
              </w:rPr>
              <w:t>●</w:t>
            </w:r>
          </w:p>
        </w:tc>
        <w:tc>
          <w:tcPr>
            <w:tcW w:w="1875" w:type="dxa"/>
            <w:tcBorders>
              <w:top w:val="single" w:color="auto" w:sz="8" w:space="0"/>
            </w:tcBorders>
            <w:shd w:val="clear" w:color="auto" w:fill="auto"/>
            <w:vAlign w:val="center"/>
          </w:tcPr>
          <w:p w14:paraId="6972901A">
            <w:pPr>
              <w:pStyle w:val="178"/>
              <w:rPr>
                <w:szCs w:val="24"/>
              </w:rPr>
            </w:pPr>
            <w:r>
              <w:rPr>
                <w:rFonts w:hint="eastAsia"/>
                <w:szCs w:val="24"/>
              </w:rPr>
              <w:t>●</w:t>
            </w:r>
          </w:p>
        </w:tc>
        <w:tc>
          <w:tcPr>
            <w:tcW w:w="1875" w:type="dxa"/>
            <w:tcBorders>
              <w:top w:val="single" w:color="auto" w:sz="8" w:space="0"/>
            </w:tcBorders>
            <w:shd w:val="clear" w:color="auto" w:fill="auto"/>
            <w:vAlign w:val="center"/>
          </w:tcPr>
          <w:p w14:paraId="1CE590DB">
            <w:pPr>
              <w:pStyle w:val="178"/>
              <w:rPr>
                <w:szCs w:val="24"/>
              </w:rPr>
            </w:pPr>
            <w:r>
              <w:rPr>
                <w:rFonts w:hint="eastAsia"/>
                <w:szCs w:val="24"/>
              </w:rPr>
              <w:t>●</w:t>
            </w:r>
          </w:p>
        </w:tc>
        <w:tc>
          <w:tcPr>
            <w:tcW w:w="1875" w:type="dxa"/>
            <w:tcBorders>
              <w:top w:val="single" w:color="auto" w:sz="8" w:space="0"/>
            </w:tcBorders>
            <w:shd w:val="clear" w:color="auto" w:fill="auto"/>
            <w:vAlign w:val="center"/>
          </w:tcPr>
          <w:p w14:paraId="7FD0270A">
            <w:pPr>
              <w:pStyle w:val="178"/>
              <w:rPr>
                <w:szCs w:val="24"/>
              </w:rPr>
            </w:pPr>
            <w:r>
              <w:rPr>
                <w:rFonts w:hint="eastAsia"/>
                <w:szCs w:val="24"/>
              </w:rPr>
              <w:t>●</w:t>
            </w:r>
          </w:p>
        </w:tc>
      </w:tr>
      <w:tr w14:paraId="17440ED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74" w:type="dxa"/>
            <w:shd w:val="clear" w:color="auto" w:fill="auto"/>
            <w:vAlign w:val="center"/>
          </w:tcPr>
          <w:p w14:paraId="5CCABC4F">
            <w:pPr>
              <w:spacing w:line="240" w:lineRule="auto"/>
              <w:jc w:val="center"/>
              <w:rPr>
                <w:rFonts w:ascii="宋体" w:hAnsi="宋体"/>
                <w:sz w:val="18"/>
              </w:rPr>
            </w:pPr>
            <w:r>
              <w:rPr>
                <w:rFonts w:hint="eastAsia" w:ascii="宋体" w:hAnsi="宋体"/>
                <w:sz w:val="18"/>
              </w:rPr>
              <w:t>相对湿度</w:t>
            </w:r>
          </w:p>
        </w:tc>
        <w:tc>
          <w:tcPr>
            <w:tcW w:w="1875" w:type="dxa"/>
            <w:shd w:val="clear" w:color="auto" w:fill="auto"/>
            <w:vAlign w:val="center"/>
          </w:tcPr>
          <w:p w14:paraId="04D15A07">
            <w:pPr>
              <w:pStyle w:val="178"/>
              <w:rPr>
                <w:szCs w:val="24"/>
              </w:rPr>
            </w:pPr>
            <w:r>
              <w:rPr>
                <w:rFonts w:hint="eastAsia"/>
                <w:szCs w:val="24"/>
              </w:rPr>
              <w:t>●</w:t>
            </w:r>
          </w:p>
        </w:tc>
        <w:tc>
          <w:tcPr>
            <w:tcW w:w="1875" w:type="dxa"/>
            <w:shd w:val="clear" w:color="auto" w:fill="auto"/>
            <w:vAlign w:val="center"/>
          </w:tcPr>
          <w:p w14:paraId="51B0BED1">
            <w:pPr>
              <w:pStyle w:val="178"/>
              <w:rPr>
                <w:szCs w:val="24"/>
              </w:rPr>
            </w:pPr>
            <w:r>
              <w:rPr>
                <w:rFonts w:hint="eastAsia"/>
                <w:szCs w:val="24"/>
              </w:rPr>
              <w:t>●</w:t>
            </w:r>
          </w:p>
        </w:tc>
        <w:tc>
          <w:tcPr>
            <w:tcW w:w="1875" w:type="dxa"/>
            <w:shd w:val="clear" w:color="auto" w:fill="auto"/>
            <w:vAlign w:val="center"/>
          </w:tcPr>
          <w:p w14:paraId="3257B616">
            <w:pPr>
              <w:pStyle w:val="178"/>
              <w:rPr>
                <w:szCs w:val="24"/>
              </w:rPr>
            </w:pPr>
            <w:r>
              <w:rPr>
                <w:rFonts w:hint="eastAsia"/>
                <w:szCs w:val="24"/>
              </w:rPr>
              <w:t>●</w:t>
            </w:r>
          </w:p>
        </w:tc>
        <w:tc>
          <w:tcPr>
            <w:tcW w:w="1875" w:type="dxa"/>
            <w:shd w:val="clear" w:color="auto" w:fill="auto"/>
            <w:vAlign w:val="center"/>
          </w:tcPr>
          <w:p w14:paraId="43A364A0">
            <w:pPr>
              <w:pStyle w:val="178"/>
              <w:rPr>
                <w:szCs w:val="24"/>
              </w:rPr>
            </w:pPr>
            <w:r>
              <w:rPr>
                <w:rFonts w:hint="eastAsia"/>
                <w:szCs w:val="24"/>
              </w:rPr>
              <w:t>●</w:t>
            </w:r>
          </w:p>
        </w:tc>
      </w:tr>
      <w:tr w14:paraId="2058C6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74" w:type="dxa"/>
            <w:shd w:val="clear" w:color="auto" w:fill="auto"/>
            <w:vAlign w:val="center"/>
          </w:tcPr>
          <w:p w14:paraId="55E7EA77">
            <w:pPr>
              <w:spacing w:line="240" w:lineRule="auto"/>
              <w:jc w:val="center"/>
              <w:rPr>
                <w:rFonts w:ascii="宋体" w:hAnsi="宋体"/>
                <w:sz w:val="18"/>
              </w:rPr>
            </w:pPr>
            <w:r>
              <w:rPr>
                <w:rFonts w:hint="eastAsia" w:ascii="宋体" w:hAnsi="宋体"/>
                <w:sz w:val="18"/>
              </w:rPr>
              <w:t>气压</w:t>
            </w:r>
          </w:p>
        </w:tc>
        <w:tc>
          <w:tcPr>
            <w:tcW w:w="1875" w:type="dxa"/>
            <w:shd w:val="clear" w:color="auto" w:fill="auto"/>
            <w:vAlign w:val="center"/>
          </w:tcPr>
          <w:p w14:paraId="01C99693">
            <w:pPr>
              <w:pStyle w:val="178"/>
              <w:rPr>
                <w:szCs w:val="24"/>
              </w:rPr>
            </w:pPr>
            <w:r>
              <w:rPr>
                <w:rFonts w:hint="eastAsia"/>
                <w:szCs w:val="24"/>
              </w:rPr>
              <w:t>●</w:t>
            </w:r>
          </w:p>
        </w:tc>
        <w:tc>
          <w:tcPr>
            <w:tcW w:w="1875" w:type="dxa"/>
            <w:shd w:val="clear" w:color="auto" w:fill="auto"/>
            <w:vAlign w:val="center"/>
          </w:tcPr>
          <w:p w14:paraId="23CD377A">
            <w:pPr>
              <w:pStyle w:val="178"/>
              <w:rPr>
                <w:szCs w:val="24"/>
              </w:rPr>
            </w:pPr>
            <w:r>
              <w:rPr>
                <w:rFonts w:hint="eastAsia"/>
                <w:szCs w:val="24"/>
              </w:rPr>
              <w:t>●</w:t>
            </w:r>
          </w:p>
        </w:tc>
        <w:tc>
          <w:tcPr>
            <w:tcW w:w="1875" w:type="dxa"/>
            <w:shd w:val="clear" w:color="auto" w:fill="auto"/>
            <w:vAlign w:val="center"/>
          </w:tcPr>
          <w:p w14:paraId="4574D348">
            <w:pPr>
              <w:pStyle w:val="178"/>
              <w:rPr>
                <w:szCs w:val="24"/>
              </w:rPr>
            </w:pPr>
            <w:r>
              <w:rPr>
                <w:rFonts w:hint="eastAsia"/>
                <w:szCs w:val="24"/>
              </w:rPr>
              <w:t>●</w:t>
            </w:r>
          </w:p>
        </w:tc>
        <w:tc>
          <w:tcPr>
            <w:tcW w:w="1875" w:type="dxa"/>
            <w:shd w:val="clear" w:color="auto" w:fill="auto"/>
            <w:vAlign w:val="center"/>
          </w:tcPr>
          <w:p w14:paraId="31B2F66C">
            <w:pPr>
              <w:pStyle w:val="178"/>
              <w:rPr>
                <w:szCs w:val="24"/>
              </w:rPr>
            </w:pPr>
            <w:r>
              <w:rPr>
                <w:rFonts w:hint="eastAsia"/>
                <w:szCs w:val="24"/>
              </w:rPr>
              <w:t>●</w:t>
            </w:r>
          </w:p>
        </w:tc>
      </w:tr>
      <w:tr w14:paraId="485A7C2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74" w:type="dxa"/>
            <w:shd w:val="clear" w:color="auto" w:fill="auto"/>
            <w:vAlign w:val="center"/>
          </w:tcPr>
          <w:p w14:paraId="498ECC8A">
            <w:pPr>
              <w:spacing w:line="240" w:lineRule="auto"/>
              <w:jc w:val="center"/>
              <w:rPr>
                <w:rFonts w:ascii="宋体" w:hAnsi="宋体"/>
                <w:sz w:val="18"/>
              </w:rPr>
            </w:pPr>
            <w:r>
              <w:rPr>
                <w:rFonts w:hint="eastAsia" w:ascii="宋体" w:hAnsi="宋体"/>
                <w:sz w:val="18"/>
              </w:rPr>
              <w:t>风向</w:t>
            </w:r>
          </w:p>
        </w:tc>
        <w:tc>
          <w:tcPr>
            <w:tcW w:w="1875" w:type="dxa"/>
            <w:shd w:val="clear" w:color="auto" w:fill="auto"/>
            <w:vAlign w:val="center"/>
          </w:tcPr>
          <w:p w14:paraId="381E54AF">
            <w:pPr>
              <w:pStyle w:val="178"/>
              <w:rPr>
                <w:szCs w:val="24"/>
              </w:rPr>
            </w:pPr>
            <w:r>
              <w:rPr>
                <w:rFonts w:hint="eastAsia"/>
                <w:szCs w:val="24"/>
              </w:rPr>
              <w:t>●</w:t>
            </w:r>
          </w:p>
        </w:tc>
        <w:tc>
          <w:tcPr>
            <w:tcW w:w="1875" w:type="dxa"/>
            <w:shd w:val="clear" w:color="auto" w:fill="auto"/>
            <w:vAlign w:val="center"/>
          </w:tcPr>
          <w:p w14:paraId="7A3B048C">
            <w:pPr>
              <w:pStyle w:val="178"/>
              <w:rPr>
                <w:szCs w:val="24"/>
              </w:rPr>
            </w:pPr>
            <w:r>
              <w:rPr>
                <w:rFonts w:hint="eastAsia"/>
                <w:szCs w:val="24"/>
              </w:rPr>
              <w:t>●</w:t>
            </w:r>
          </w:p>
        </w:tc>
        <w:tc>
          <w:tcPr>
            <w:tcW w:w="1875" w:type="dxa"/>
            <w:shd w:val="clear" w:color="auto" w:fill="auto"/>
            <w:vAlign w:val="center"/>
          </w:tcPr>
          <w:p w14:paraId="1FEEE942">
            <w:pPr>
              <w:pStyle w:val="178"/>
              <w:rPr>
                <w:szCs w:val="24"/>
              </w:rPr>
            </w:pPr>
            <w:r>
              <w:rPr>
                <w:rFonts w:hint="eastAsia"/>
                <w:szCs w:val="24"/>
              </w:rPr>
              <w:t>●</w:t>
            </w:r>
          </w:p>
        </w:tc>
        <w:tc>
          <w:tcPr>
            <w:tcW w:w="1875" w:type="dxa"/>
            <w:shd w:val="clear" w:color="auto" w:fill="auto"/>
            <w:vAlign w:val="center"/>
          </w:tcPr>
          <w:p w14:paraId="2190B951">
            <w:pPr>
              <w:pStyle w:val="178"/>
              <w:rPr>
                <w:szCs w:val="24"/>
              </w:rPr>
            </w:pPr>
            <w:r>
              <w:rPr>
                <w:rFonts w:hint="eastAsia"/>
                <w:szCs w:val="24"/>
              </w:rPr>
              <w:t>●</w:t>
            </w:r>
          </w:p>
        </w:tc>
      </w:tr>
      <w:tr w14:paraId="7E5BBD5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74" w:type="dxa"/>
            <w:shd w:val="clear" w:color="auto" w:fill="auto"/>
            <w:vAlign w:val="center"/>
          </w:tcPr>
          <w:p w14:paraId="47DE28A6">
            <w:pPr>
              <w:spacing w:line="240" w:lineRule="auto"/>
              <w:jc w:val="center"/>
              <w:rPr>
                <w:rFonts w:ascii="宋体" w:hAnsi="宋体"/>
                <w:sz w:val="18"/>
              </w:rPr>
            </w:pPr>
            <w:r>
              <w:rPr>
                <w:rFonts w:hint="eastAsia" w:ascii="宋体" w:hAnsi="宋体"/>
                <w:sz w:val="18"/>
              </w:rPr>
              <w:t>风速</w:t>
            </w:r>
          </w:p>
        </w:tc>
        <w:tc>
          <w:tcPr>
            <w:tcW w:w="1875" w:type="dxa"/>
            <w:shd w:val="clear" w:color="auto" w:fill="auto"/>
            <w:vAlign w:val="center"/>
          </w:tcPr>
          <w:p w14:paraId="42CD784D">
            <w:pPr>
              <w:pStyle w:val="178"/>
              <w:rPr>
                <w:szCs w:val="24"/>
              </w:rPr>
            </w:pPr>
            <w:r>
              <w:rPr>
                <w:rFonts w:hint="eastAsia"/>
                <w:szCs w:val="24"/>
              </w:rPr>
              <w:t>●</w:t>
            </w:r>
          </w:p>
        </w:tc>
        <w:tc>
          <w:tcPr>
            <w:tcW w:w="1875" w:type="dxa"/>
            <w:shd w:val="clear" w:color="auto" w:fill="auto"/>
            <w:vAlign w:val="center"/>
          </w:tcPr>
          <w:p w14:paraId="4CCF163C">
            <w:pPr>
              <w:pStyle w:val="178"/>
              <w:rPr>
                <w:szCs w:val="24"/>
              </w:rPr>
            </w:pPr>
            <w:r>
              <w:rPr>
                <w:rFonts w:hint="eastAsia"/>
                <w:szCs w:val="24"/>
              </w:rPr>
              <w:t>●</w:t>
            </w:r>
          </w:p>
        </w:tc>
        <w:tc>
          <w:tcPr>
            <w:tcW w:w="1875" w:type="dxa"/>
            <w:shd w:val="clear" w:color="auto" w:fill="auto"/>
            <w:vAlign w:val="center"/>
          </w:tcPr>
          <w:p w14:paraId="14DD876F">
            <w:pPr>
              <w:pStyle w:val="178"/>
              <w:rPr>
                <w:szCs w:val="24"/>
              </w:rPr>
            </w:pPr>
            <w:r>
              <w:rPr>
                <w:rFonts w:hint="eastAsia"/>
                <w:szCs w:val="24"/>
              </w:rPr>
              <w:t>●</w:t>
            </w:r>
          </w:p>
        </w:tc>
        <w:tc>
          <w:tcPr>
            <w:tcW w:w="1875" w:type="dxa"/>
            <w:shd w:val="clear" w:color="auto" w:fill="auto"/>
            <w:vAlign w:val="center"/>
          </w:tcPr>
          <w:p w14:paraId="2497EC79">
            <w:pPr>
              <w:pStyle w:val="178"/>
              <w:rPr>
                <w:szCs w:val="24"/>
              </w:rPr>
            </w:pPr>
            <w:r>
              <w:rPr>
                <w:rFonts w:hint="eastAsia"/>
                <w:szCs w:val="24"/>
              </w:rPr>
              <w:t>●</w:t>
            </w:r>
          </w:p>
        </w:tc>
      </w:tr>
      <w:tr w14:paraId="5E448C9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74" w:type="dxa"/>
            <w:shd w:val="clear" w:color="auto" w:fill="auto"/>
            <w:vAlign w:val="center"/>
          </w:tcPr>
          <w:p w14:paraId="76BB6D12">
            <w:pPr>
              <w:spacing w:line="240" w:lineRule="auto"/>
              <w:jc w:val="center"/>
              <w:rPr>
                <w:rFonts w:ascii="宋体" w:hAnsi="宋体"/>
                <w:sz w:val="18"/>
              </w:rPr>
            </w:pPr>
            <w:r>
              <w:rPr>
                <w:rFonts w:hint="eastAsia" w:ascii="宋体" w:hAnsi="宋体"/>
                <w:sz w:val="18"/>
              </w:rPr>
              <w:t>光照</w:t>
            </w:r>
          </w:p>
        </w:tc>
        <w:tc>
          <w:tcPr>
            <w:tcW w:w="1875" w:type="dxa"/>
            <w:shd w:val="clear" w:color="auto" w:fill="auto"/>
            <w:vAlign w:val="center"/>
          </w:tcPr>
          <w:p w14:paraId="5D456812">
            <w:pPr>
              <w:pStyle w:val="178"/>
              <w:rPr>
                <w:szCs w:val="24"/>
              </w:rPr>
            </w:pPr>
            <w:r>
              <w:rPr>
                <w:rFonts w:hint="eastAsia"/>
                <w:szCs w:val="24"/>
              </w:rPr>
              <w:t>○</w:t>
            </w:r>
          </w:p>
        </w:tc>
        <w:tc>
          <w:tcPr>
            <w:tcW w:w="1875" w:type="dxa"/>
            <w:shd w:val="clear" w:color="auto" w:fill="auto"/>
            <w:vAlign w:val="center"/>
          </w:tcPr>
          <w:p w14:paraId="078CA5C8">
            <w:pPr>
              <w:pStyle w:val="178"/>
              <w:rPr>
                <w:szCs w:val="24"/>
              </w:rPr>
            </w:pPr>
            <w:r>
              <w:rPr>
                <w:rFonts w:hint="eastAsia"/>
                <w:szCs w:val="24"/>
              </w:rPr>
              <w:t>●</w:t>
            </w:r>
          </w:p>
        </w:tc>
        <w:tc>
          <w:tcPr>
            <w:tcW w:w="1875" w:type="dxa"/>
            <w:shd w:val="clear" w:color="auto" w:fill="auto"/>
            <w:vAlign w:val="center"/>
          </w:tcPr>
          <w:p w14:paraId="1F9A5847">
            <w:pPr>
              <w:pStyle w:val="178"/>
              <w:rPr>
                <w:szCs w:val="24"/>
              </w:rPr>
            </w:pPr>
            <w:r>
              <w:rPr>
                <w:rFonts w:hint="eastAsia"/>
                <w:szCs w:val="24"/>
              </w:rPr>
              <w:t>●</w:t>
            </w:r>
          </w:p>
        </w:tc>
        <w:tc>
          <w:tcPr>
            <w:tcW w:w="1875" w:type="dxa"/>
            <w:shd w:val="clear" w:color="auto" w:fill="auto"/>
            <w:vAlign w:val="center"/>
          </w:tcPr>
          <w:p w14:paraId="34D6471D">
            <w:pPr>
              <w:pStyle w:val="178"/>
              <w:rPr>
                <w:szCs w:val="24"/>
              </w:rPr>
            </w:pPr>
            <w:r>
              <w:rPr>
                <w:rFonts w:hint="eastAsia"/>
                <w:szCs w:val="24"/>
              </w:rPr>
              <w:t>○</w:t>
            </w:r>
          </w:p>
        </w:tc>
      </w:tr>
      <w:tr w14:paraId="032A897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74" w:type="dxa"/>
            <w:shd w:val="clear" w:color="auto" w:fill="auto"/>
            <w:vAlign w:val="center"/>
          </w:tcPr>
          <w:p w14:paraId="1FC41376">
            <w:pPr>
              <w:spacing w:line="240" w:lineRule="auto"/>
              <w:jc w:val="center"/>
              <w:rPr>
                <w:rFonts w:ascii="宋体" w:hAnsi="宋体"/>
                <w:sz w:val="18"/>
              </w:rPr>
            </w:pPr>
            <w:r>
              <w:rPr>
                <w:rFonts w:hint="eastAsia" w:ascii="宋体" w:hAnsi="宋体"/>
                <w:sz w:val="18"/>
              </w:rPr>
              <w:t>噪音</w:t>
            </w:r>
          </w:p>
        </w:tc>
        <w:tc>
          <w:tcPr>
            <w:tcW w:w="1875" w:type="dxa"/>
            <w:shd w:val="clear" w:color="auto" w:fill="auto"/>
            <w:vAlign w:val="center"/>
          </w:tcPr>
          <w:p w14:paraId="663B317A">
            <w:pPr>
              <w:pStyle w:val="178"/>
              <w:rPr>
                <w:szCs w:val="24"/>
              </w:rPr>
            </w:pPr>
            <w:r>
              <w:rPr>
                <w:rFonts w:hint="eastAsia"/>
                <w:szCs w:val="24"/>
              </w:rPr>
              <w:t>○</w:t>
            </w:r>
          </w:p>
        </w:tc>
        <w:tc>
          <w:tcPr>
            <w:tcW w:w="1875" w:type="dxa"/>
            <w:shd w:val="clear" w:color="auto" w:fill="auto"/>
            <w:vAlign w:val="center"/>
          </w:tcPr>
          <w:p w14:paraId="0C2B9467">
            <w:pPr>
              <w:pStyle w:val="178"/>
              <w:rPr>
                <w:szCs w:val="24"/>
              </w:rPr>
            </w:pPr>
            <w:r>
              <w:rPr>
                <w:rFonts w:hint="eastAsia"/>
                <w:szCs w:val="24"/>
              </w:rPr>
              <w:t>●</w:t>
            </w:r>
          </w:p>
        </w:tc>
        <w:tc>
          <w:tcPr>
            <w:tcW w:w="1875" w:type="dxa"/>
            <w:shd w:val="clear" w:color="auto" w:fill="auto"/>
            <w:vAlign w:val="center"/>
          </w:tcPr>
          <w:p w14:paraId="1B294359">
            <w:pPr>
              <w:pStyle w:val="178"/>
              <w:rPr>
                <w:szCs w:val="24"/>
              </w:rPr>
            </w:pPr>
            <w:r>
              <w:rPr>
                <w:rFonts w:hint="eastAsia"/>
                <w:szCs w:val="24"/>
              </w:rPr>
              <w:t>●</w:t>
            </w:r>
          </w:p>
        </w:tc>
        <w:tc>
          <w:tcPr>
            <w:tcW w:w="1875" w:type="dxa"/>
            <w:shd w:val="clear" w:color="auto" w:fill="auto"/>
            <w:vAlign w:val="center"/>
          </w:tcPr>
          <w:p w14:paraId="47690204">
            <w:pPr>
              <w:pStyle w:val="178"/>
              <w:rPr>
                <w:szCs w:val="24"/>
              </w:rPr>
            </w:pPr>
            <w:r>
              <w:rPr>
                <w:rFonts w:hint="eastAsia"/>
                <w:szCs w:val="24"/>
              </w:rPr>
              <w:t>○</w:t>
            </w:r>
          </w:p>
        </w:tc>
      </w:tr>
      <w:tr w14:paraId="7B56DE5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74" w:type="dxa"/>
            <w:shd w:val="clear" w:color="auto" w:fill="auto"/>
            <w:vAlign w:val="center"/>
          </w:tcPr>
          <w:p w14:paraId="4036FF01">
            <w:pPr>
              <w:spacing w:line="240" w:lineRule="auto"/>
              <w:jc w:val="center"/>
              <w:rPr>
                <w:rFonts w:ascii="宋体" w:hAnsi="宋体"/>
                <w:sz w:val="18"/>
              </w:rPr>
            </w:pPr>
            <w:r>
              <w:rPr>
                <w:rFonts w:ascii="宋体" w:hAnsi="宋体"/>
                <w:sz w:val="18"/>
              </w:rPr>
              <w:t>PM</w:t>
            </w:r>
            <w:r>
              <w:rPr>
                <w:rFonts w:ascii="宋体" w:hAnsi="宋体"/>
                <w:sz w:val="18"/>
                <w:vertAlign w:val="subscript"/>
              </w:rPr>
              <w:t>2.5</w:t>
            </w:r>
          </w:p>
        </w:tc>
        <w:tc>
          <w:tcPr>
            <w:tcW w:w="1875" w:type="dxa"/>
            <w:shd w:val="clear" w:color="auto" w:fill="auto"/>
            <w:vAlign w:val="center"/>
          </w:tcPr>
          <w:p w14:paraId="51E943CC">
            <w:pPr>
              <w:pStyle w:val="178"/>
              <w:rPr>
                <w:szCs w:val="24"/>
              </w:rPr>
            </w:pPr>
            <w:r>
              <w:rPr>
                <w:rFonts w:hint="eastAsia"/>
                <w:szCs w:val="24"/>
              </w:rPr>
              <w:t>○</w:t>
            </w:r>
          </w:p>
        </w:tc>
        <w:tc>
          <w:tcPr>
            <w:tcW w:w="1875" w:type="dxa"/>
            <w:shd w:val="clear" w:color="auto" w:fill="auto"/>
            <w:vAlign w:val="center"/>
          </w:tcPr>
          <w:p w14:paraId="6F761A31">
            <w:pPr>
              <w:pStyle w:val="178"/>
              <w:rPr>
                <w:szCs w:val="24"/>
              </w:rPr>
            </w:pPr>
            <w:r>
              <w:rPr>
                <w:rFonts w:hint="eastAsia"/>
                <w:szCs w:val="24"/>
              </w:rPr>
              <w:t>●</w:t>
            </w:r>
          </w:p>
        </w:tc>
        <w:tc>
          <w:tcPr>
            <w:tcW w:w="1875" w:type="dxa"/>
            <w:shd w:val="clear" w:color="auto" w:fill="auto"/>
            <w:vAlign w:val="center"/>
          </w:tcPr>
          <w:p w14:paraId="05A1E2C0">
            <w:pPr>
              <w:pStyle w:val="178"/>
              <w:rPr>
                <w:szCs w:val="24"/>
              </w:rPr>
            </w:pPr>
            <w:r>
              <w:rPr>
                <w:rFonts w:hint="eastAsia"/>
                <w:szCs w:val="24"/>
              </w:rPr>
              <w:t>○</w:t>
            </w:r>
          </w:p>
        </w:tc>
        <w:tc>
          <w:tcPr>
            <w:tcW w:w="1875" w:type="dxa"/>
            <w:shd w:val="clear" w:color="auto" w:fill="auto"/>
            <w:vAlign w:val="center"/>
          </w:tcPr>
          <w:p w14:paraId="3C442538">
            <w:pPr>
              <w:pStyle w:val="178"/>
              <w:rPr>
                <w:szCs w:val="24"/>
              </w:rPr>
            </w:pPr>
            <w:r>
              <w:rPr>
                <w:rFonts w:hint="eastAsia"/>
                <w:szCs w:val="24"/>
              </w:rPr>
              <w:t>○</w:t>
            </w:r>
          </w:p>
        </w:tc>
      </w:tr>
      <w:tr w14:paraId="2060F5A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74" w:type="dxa"/>
            <w:shd w:val="clear" w:color="auto" w:fill="auto"/>
            <w:vAlign w:val="center"/>
          </w:tcPr>
          <w:p w14:paraId="7836DECB">
            <w:pPr>
              <w:spacing w:line="240" w:lineRule="auto"/>
              <w:jc w:val="center"/>
              <w:rPr>
                <w:rFonts w:ascii="宋体" w:hAnsi="宋体"/>
                <w:sz w:val="18"/>
              </w:rPr>
            </w:pPr>
            <w:r>
              <w:rPr>
                <w:rFonts w:ascii="宋体" w:hAnsi="宋体"/>
                <w:sz w:val="18"/>
              </w:rPr>
              <w:t>PM</w:t>
            </w:r>
            <w:r>
              <w:rPr>
                <w:rFonts w:ascii="宋体" w:hAnsi="宋体"/>
                <w:sz w:val="18"/>
                <w:vertAlign w:val="subscript"/>
              </w:rPr>
              <w:t>10</w:t>
            </w:r>
          </w:p>
        </w:tc>
        <w:tc>
          <w:tcPr>
            <w:tcW w:w="1875" w:type="dxa"/>
            <w:shd w:val="clear" w:color="auto" w:fill="auto"/>
            <w:vAlign w:val="center"/>
          </w:tcPr>
          <w:p w14:paraId="1B7636B1">
            <w:pPr>
              <w:pStyle w:val="178"/>
              <w:rPr>
                <w:szCs w:val="24"/>
              </w:rPr>
            </w:pPr>
            <w:r>
              <w:rPr>
                <w:rFonts w:hint="eastAsia"/>
                <w:szCs w:val="24"/>
              </w:rPr>
              <w:t>○</w:t>
            </w:r>
          </w:p>
        </w:tc>
        <w:tc>
          <w:tcPr>
            <w:tcW w:w="1875" w:type="dxa"/>
            <w:shd w:val="clear" w:color="auto" w:fill="auto"/>
            <w:vAlign w:val="center"/>
          </w:tcPr>
          <w:p w14:paraId="5069B953">
            <w:pPr>
              <w:pStyle w:val="178"/>
              <w:rPr>
                <w:szCs w:val="24"/>
              </w:rPr>
            </w:pPr>
            <w:r>
              <w:rPr>
                <w:rFonts w:hint="eastAsia"/>
                <w:szCs w:val="24"/>
              </w:rPr>
              <w:t>●</w:t>
            </w:r>
          </w:p>
        </w:tc>
        <w:tc>
          <w:tcPr>
            <w:tcW w:w="1875" w:type="dxa"/>
            <w:shd w:val="clear" w:color="auto" w:fill="auto"/>
            <w:vAlign w:val="center"/>
          </w:tcPr>
          <w:p w14:paraId="644DEF81">
            <w:pPr>
              <w:pStyle w:val="178"/>
              <w:rPr>
                <w:szCs w:val="24"/>
              </w:rPr>
            </w:pPr>
            <w:r>
              <w:rPr>
                <w:rFonts w:hint="eastAsia"/>
                <w:szCs w:val="24"/>
              </w:rPr>
              <w:t>○</w:t>
            </w:r>
          </w:p>
        </w:tc>
        <w:tc>
          <w:tcPr>
            <w:tcW w:w="1875" w:type="dxa"/>
            <w:shd w:val="clear" w:color="auto" w:fill="auto"/>
            <w:vAlign w:val="center"/>
          </w:tcPr>
          <w:p w14:paraId="09EC8EA1">
            <w:pPr>
              <w:pStyle w:val="178"/>
              <w:rPr>
                <w:szCs w:val="24"/>
              </w:rPr>
            </w:pPr>
            <w:r>
              <w:rPr>
                <w:rFonts w:hint="eastAsia"/>
                <w:szCs w:val="24"/>
              </w:rPr>
              <w:t>○</w:t>
            </w:r>
          </w:p>
        </w:tc>
      </w:tr>
      <w:tr w14:paraId="4CE0813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74" w:type="dxa"/>
            <w:shd w:val="clear" w:color="auto" w:fill="auto"/>
            <w:vAlign w:val="center"/>
          </w:tcPr>
          <w:p w14:paraId="53ABC86E">
            <w:pPr>
              <w:spacing w:line="240" w:lineRule="auto"/>
              <w:jc w:val="center"/>
              <w:rPr>
                <w:rFonts w:ascii="宋体" w:hAnsi="宋体"/>
                <w:sz w:val="18"/>
              </w:rPr>
            </w:pPr>
            <w:r>
              <w:rPr>
                <w:rFonts w:hint="eastAsia" w:ascii="宋体" w:hAnsi="宋体"/>
                <w:sz w:val="18"/>
              </w:rPr>
              <w:t>氨气</w:t>
            </w:r>
          </w:p>
        </w:tc>
        <w:tc>
          <w:tcPr>
            <w:tcW w:w="1875" w:type="dxa"/>
            <w:shd w:val="clear" w:color="auto" w:fill="auto"/>
            <w:vAlign w:val="center"/>
          </w:tcPr>
          <w:p w14:paraId="5CD49196">
            <w:pPr>
              <w:pStyle w:val="178"/>
              <w:rPr>
                <w:szCs w:val="24"/>
              </w:rPr>
            </w:pPr>
            <w:r>
              <w:rPr>
                <w:rFonts w:hint="eastAsia"/>
                <w:szCs w:val="24"/>
              </w:rPr>
              <w:t>●</w:t>
            </w:r>
          </w:p>
        </w:tc>
        <w:tc>
          <w:tcPr>
            <w:tcW w:w="1875" w:type="dxa"/>
            <w:shd w:val="clear" w:color="auto" w:fill="auto"/>
            <w:vAlign w:val="center"/>
          </w:tcPr>
          <w:p w14:paraId="3412C462">
            <w:pPr>
              <w:pStyle w:val="178"/>
              <w:rPr>
                <w:szCs w:val="24"/>
              </w:rPr>
            </w:pPr>
            <w:r>
              <w:rPr>
                <w:rFonts w:hint="eastAsia"/>
                <w:szCs w:val="24"/>
              </w:rPr>
              <w:t>●</w:t>
            </w:r>
          </w:p>
        </w:tc>
        <w:tc>
          <w:tcPr>
            <w:tcW w:w="1875" w:type="dxa"/>
            <w:shd w:val="clear" w:color="auto" w:fill="auto"/>
            <w:vAlign w:val="center"/>
          </w:tcPr>
          <w:p w14:paraId="51DA3B8D">
            <w:pPr>
              <w:pStyle w:val="178"/>
              <w:rPr>
                <w:szCs w:val="24"/>
              </w:rPr>
            </w:pPr>
            <w:r>
              <w:rPr>
                <w:rFonts w:hint="eastAsia"/>
                <w:szCs w:val="24"/>
              </w:rPr>
              <w:t>○</w:t>
            </w:r>
          </w:p>
        </w:tc>
        <w:tc>
          <w:tcPr>
            <w:tcW w:w="1875" w:type="dxa"/>
            <w:shd w:val="clear" w:color="auto" w:fill="auto"/>
            <w:vAlign w:val="center"/>
          </w:tcPr>
          <w:p w14:paraId="387A1E7B">
            <w:pPr>
              <w:pStyle w:val="178"/>
              <w:rPr>
                <w:szCs w:val="24"/>
              </w:rPr>
            </w:pPr>
            <w:r>
              <w:rPr>
                <w:rFonts w:hint="eastAsia"/>
                <w:szCs w:val="24"/>
              </w:rPr>
              <w:t>●</w:t>
            </w:r>
          </w:p>
        </w:tc>
      </w:tr>
      <w:tr w14:paraId="2A03F4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74" w:type="dxa"/>
            <w:tcBorders>
              <w:bottom w:val="single" w:color="auto" w:sz="8" w:space="0"/>
            </w:tcBorders>
            <w:shd w:val="clear" w:color="auto" w:fill="auto"/>
            <w:vAlign w:val="center"/>
          </w:tcPr>
          <w:p w14:paraId="3A5B6C4B">
            <w:pPr>
              <w:spacing w:line="240" w:lineRule="auto"/>
              <w:jc w:val="center"/>
              <w:rPr>
                <w:rFonts w:ascii="宋体" w:hAnsi="宋体"/>
                <w:sz w:val="18"/>
              </w:rPr>
            </w:pPr>
            <w:r>
              <w:rPr>
                <w:rFonts w:hint="eastAsia" w:ascii="宋体" w:hAnsi="宋体"/>
                <w:sz w:val="18"/>
              </w:rPr>
              <w:t>甲烷</w:t>
            </w:r>
          </w:p>
        </w:tc>
        <w:tc>
          <w:tcPr>
            <w:tcW w:w="1875" w:type="dxa"/>
            <w:tcBorders>
              <w:bottom w:val="single" w:color="auto" w:sz="8" w:space="0"/>
            </w:tcBorders>
            <w:shd w:val="clear" w:color="auto" w:fill="auto"/>
            <w:vAlign w:val="center"/>
          </w:tcPr>
          <w:p w14:paraId="618D4DBB">
            <w:pPr>
              <w:pStyle w:val="178"/>
              <w:rPr>
                <w:szCs w:val="24"/>
              </w:rPr>
            </w:pPr>
            <w:r>
              <w:rPr>
                <w:rFonts w:hint="eastAsia"/>
                <w:szCs w:val="24"/>
              </w:rPr>
              <w:t>●</w:t>
            </w:r>
          </w:p>
        </w:tc>
        <w:tc>
          <w:tcPr>
            <w:tcW w:w="1875" w:type="dxa"/>
            <w:tcBorders>
              <w:bottom w:val="single" w:color="auto" w:sz="8" w:space="0"/>
            </w:tcBorders>
            <w:shd w:val="clear" w:color="auto" w:fill="auto"/>
            <w:vAlign w:val="center"/>
          </w:tcPr>
          <w:p w14:paraId="62DE2802">
            <w:pPr>
              <w:pStyle w:val="178"/>
              <w:rPr>
                <w:szCs w:val="24"/>
              </w:rPr>
            </w:pPr>
            <w:r>
              <w:rPr>
                <w:rFonts w:hint="eastAsia"/>
                <w:szCs w:val="24"/>
              </w:rPr>
              <w:t>●</w:t>
            </w:r>
          </w:p>
        </w:tc>
        <w:tc>
          <w:tcPr>
            <w:tcW w:w="1875" w:type="dxa"/>
            <w:tcBorders>
              <w:bottom w:val="single" w:color="auto" w:sz="8" w:space="0"/>
            </w:tcBorders>
            <w:shd w:val="clear" w:color="auto" w:fill="auto"/>
            <w:vAlign w:val="center"/>
          </w:tcPr>
          <w:p w14:paraId="4FB42D9E">
            <w:pPr>
              <w:pStyle w:val="178"/>
              <w:rPr>
                <w:szCs w:val="24"/>
              </w:rPr>
            </w:pPr>
            <w:r>
              <w:rPr>
                <w:rFonts w:hint="eastAsia"/>
                <w:szCs w:val="24"/>
              </w:rPr>
              <w:t>○</w:t>
            </w:r>
          </w:p>
        </w:tc>
        <w:tc>
          <w:tcPr>
            <w:tcW w:w="1875" w:type="dxa"/>
            <w:tcBorders>
              <w:bottom w:val="single" w:color="auto" w:sz="8" w:space="0"/>
            </w:tcBorders>
            <w:shd w:val="clear" w:color="auto" w:fill="auto"/>
            <w:vAlign w:val="center"/>
          </w:tcPr>
          <w:p w14:paraId="60736386">
            <w:pPr>
              <w:pStyle w:val="178"/>
              <w:rPr>
                <w:szCs w:val="24"/>
              </w:rPr>
            </w:pPr>
            <w:r>
              <w:rPr>
                <w:rFonts w:hint="eastAsia"/>
                <w:szCs w:val="24"/>
              </w:rPr>
              <w:t>●</w:t>
            </w:r>
          </w:p>
        </w:tc>
      </w:tr>
      <w:tr w14:paraId="0953944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74" w:type="dxa"/>
            <w:gridSpan w:val="5"/>
            <w:tcBorders>
              <w:top w:val="single" w:color="auto" w:sz="8" w:space="0"/>
              <w:bottom w:val="single" w:color="auto" w:sz="8" w:space="0"/>
            </w:tcBorders>
            <w:shd w:val="clear" w:color="auto" w:fill="auto"/>
            <w:vAlign w:val="center"/>
          </w:tcPr>
          <w:p w14:paraId="7D51B65A">
            <w:pPr>
              <w:pStyle w:val="178"/>
            </w:pPr>
            <w:r>
              <w:rPr>
                <w:rFonts w:hint="eastAsia"/>
              </w:rPr>
              <w:t>“●”为必选要素，“○”为可选要素</w:t>
            </w:r>
          </w:p>
        </w:tc>
      </w:tr>
    </w:tbl>
    <w:p w14:paraId="6AF47415">
      <w:pPr>
        <w:pStyle w:val="104"/>
        <w:spacing w:before="312" w:after="312"/>
      </w:pPr>
      <w:bookmarkStart w:id="110" w:name="_Toc160713027"/>
      <w:bookmarkStart w:id="111" w:name="_Toc160688959"/>
      <w:bookmarkStart w:id="112" w:name="_Toc177903630"/>
      <w:bookmarkStart w:id="113" w:name="_Toc178858757"/>
      <w:bookmarkStart w:id="114" w:name="_Toc160688977"/>
      <w:bookmarkStart w:id="115" w:name="_Toc178863166"/>
      <w:bookmarkStart w:id="116" w:name="_Toc151448060"/>
      <w:bookmarkStart w:id="117" w:name="_Toc177903647"/>
      <w:bookmarkStart w:id="118" w:name="_Toc154579499"/>
      <w:r>
        <w:rPr>
          <w:rFonts w:hint="eastAsia"/>
        </w:rPr>
        <w:t>监测仪器要求及维护</w:t>
      </w:r>
      <w:bookmarkEnd w:id="110"/>
      <w:bookmarkEnd w:id="111"/>
      <w:bookmarkEnd w:id="112"/>
      <w:bookmarkEnd w:id="113"/>
      <w:bookmarkEnd w:id="114"/>
      <w:bookmarkEnd w:id="115"/>
      <w:bookmarkEnd w:id="116"/>
      <w:bookmarkEnd w:id="117"/>
      <w:bookmarkEnd w:id="118"/>
    </w:p>
    <w:p w14:paraId="39E5BDEC">
      <w:pPr>
        <w:pStyle w:val="105"/>
        <w:spacing w:before="156" w:after="156"/>
      </w:pPr>
      <w:bookmarkStart w:id="119" w:name="_Toc154579500"/>
      <w:bookmarkStart w:id="120" w:name="_Toc177903631"/>
      <w:bookmarkStart w:id="121" w:name="_Toc160688960"/>
      <w:bookmarkStart w:id="122" w:name="_Toc151448061"/>
      <w:r>
        <w:rPr>
          <w:rFonts w:hint="eastAsia"/>
        </w:rPr>
        <w:t>监测仪器</w:t>
      </w:r>
      <w:bookmarkEnd w:id="119"/>
      <w:bookmarkEnd w:id="120"/>
      <w:bookmarkEnd w:id="121"/>
      <w:bookmarkEnd w:id="122"/>
      <w:r>
        <w:rPr>
          <w:rFonts w:hint="eastAsia"/>
        </w:rPr>
        <w:t>要求</w:t>
      </w:r>
    </w:p>
    <w:p w14:paraId="55853C5C">
      <w:pPr>
        <w:pStyle w:val="56"/>
        <w:ind w:firstLine="420"/>
      </w:pPr>
      <w:r>
        <w:rPr>
          <w:rFonts w:hint="eastAsia"/>
        </w:rPr>
        <w:t>监测仪器要求见表2。</w:t>
      </w:r>
    </w:p>
    <w:p w14:paraId="4423047B">
      <w:pPr>
        <w:pStyle w:val="112"/>
      </w:pPr>
      <w:r>
        <w:rPr>
          <w:rFonts w:hint="eastAsia"/>
        </w:rPr>
        <w:t>监测仪器要求</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343"/>
        <w:gridCol w:w="2343"/>
        <w:gridCol w:w="2344"/>
        <w:gridCol w:w="2344"/>
      </w:tblGrid>
      <w:tr w14:paraId="749E227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343" w:type="dxa"/>
            <w:tcBorders>
              <w:top w:val="single" w:color="auto" w:sz="8" w:space="0"/>
              <w:bottom w:val="single" w:color="auto" w:sz="8" w:space="0"/>
            </w:tcBorders>
            <w:shd w:val="clear" w:color="auto" w:fill="auto"/>
            <w:vAlign w:val="center"/>
          </w:tcPr>
          <w:p w14:paraId="03D05E37">
            <w:pPr>
              <w:pStyle w:val="178"/>
            </w:pPr>
            <w:r>
              <w:rPr>
                <w:rFonts w:hint="eastAsia"/>
              </w:rPr>
              <w:t>监测要素</w:t>
            </w:r>
          </w:p>
        </w:tc>
        <w:tc>
          <w:tcPr>
            <w:tcW w:w="2343" w:type="dxa"/>
            <w:tcBorders>
              <w:top w:val="single" w:color="auto" w:sz="8" w:space="0"/>
              <w:bottom w:val="single" w:color="auto" w:sz="8" w:space="0"/>
            </w:tcBorders>
            <w:shd w:val="clear" w:color="auto" w:fill="auto"/>
            <w:vAlign w:val="center"/>
          </w:tcPr>
          <w:p w14:paraId="0B4909E2">
            <w:pPr>
              <w:pStyle w:val="178"/>
            </w:pPr>
            <w:r>
              <w:rPr>
                <w:rFonts w:hint="eastAsia"/>
              </w:rPr>
              <w:t>分辨力</w:t>
            </w:r>
          </w:p>
        </w:tc>
        <w:tc>
          <w:tcPr>
            <w:tcW w:w="2344" w:type="dxa"/>
            <w:tcBorders>
              <w:top w:val="single" w:color="auto" w:sz="8" w:space="0"/>
              <w:bottom w:val="single" w:color="auto" w:sz="8" w:space="0"/>
            </w:tcBorders>
            <w:shd w:val="clear" w:color="auto" w:fill="auto"/>
            <w:vAlign w:val="center"/>
          </w:tcPr>
          <w:p w14:paraId="13AE1D7B">
            <w:pPr>
              <w:pStyle w:val="178"/>
            </w:pPr>
            <w:r>
              <w:rPr>
                <w:rFonts w:hint="eastAsia"/>
              </w:rPr>
              <w:t>允许最大误差</w:t>
            </w:r>
          </w:p>
        </w:tc>
        <w:tc>
          <w:tcPr>
            <w:tcW w:w="2344" w:type="dxa"/>
            <w:tcBorders>
              <w:top w:val="single" w:color="auto" w:sz="8" w:space="0"/>
              <w:bottom w:val="single" w:color="auto" w:sz="8" w:space="0"/>
            </w:tcBorders>
            <w:shd w:val="clear" w:color="auto" w:fill="auto"/>
            <w:vAlign w:val="center"/>
          </w:tcPr>
          <w:p w14:paraId="249F911F">
            <w:pPr>
              <w:pStyle w:val="178"/>
            </w:pPr>
            <w:r>
              <w:rPr>
                <w:rFonts w:hint="eastAsia"/>
              </w:rPr>
              <w:t>采集频率</w:t>
            </w:r>
          </w:p>
          <w:p w14:paraId="23CA8791">
            <w:pPr>
              <w:pStyle w:val="178"/>
            </w:pPr>
            <w:r>
              <w:rPr>
                <w:rFonts w:hint="eastAsia"/>
              </w:rPr>
              <w:t>次/1 h</w:t>
            </w:r>
          </w:p>
        </w:tc>
      </w:tr>
      <w:tr w14:paraId="1242C68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43" w:type="dxa"/>
            <w:tcBorders>
              <w:top w:val="single" w:color="auto" w:sz="8" w:space="0"/>
            </w:tcBorders>
            <w:shd w:val="clear" w:color="auto" w:fill="auto"/>
            <w:vAlign w:val="center"/>
          </w:tcPr>
          <w:p w14:paraId="5B13D73E">
            <w:pPr>
              <w:pStyle w:val="178"/>
            </w:pPr>
            <w:r>
              <w:rPr>
                <w:rFonts w:hint="eastAsia"/>
              </w:rPr>
              <w:t>气温</w:t>
            </w:r>
          </w:p>
        </w:tc>
        <w:tc>
          <w:tcPr>
            <w:tcW w:w="2343" w:type="dxa"/>
            <w:tcBorders>
              <w:top w:val="single" w:color="auto" w:sz="8" w:space="0"/>
            </w:tcBorders>
            <w:shd w:val="clear" w:color="auto" w:fill="auto"/>
            <w:vAlign w:val="center"/>
          </w:tcPr>
          <w:p w14:paraId="1BAF392D">
            <w:pPr>
              <w:pStyle w:val="178"/>
            </w:pPr>
            <w:r>
              <w:t>0.1</w:t>
            </w:r>
            <w:r>
              <w:rPr>
                <w:rFonts w:hint="eastAsia"/>
              </w:rPr>
              <w:t xml:space="preserve"> ℃</w:t>
            </w:r>
          </w:p>
        </w:tc>
        <w:tc>
          <w:tcPr>
            <w:tcW w:w="2344" w:type="dxa"/>
            <w:tcBorders>
              <w:top w:val="single" w:color="auto" w:sz="8" w:space="0"/>
            </w:tcBorders>
            <w:shd w:val="clear" w:color="auto" w:fill="auto"/>
            <w:vAlign w:val="center"/>
          </w:tcPr>
          <w:p w14:paraId="327F90B1">
            <w:pPr>
              <w:pStyle w:val="178"/>
            </w:pPr>
            <w:r>
              <w:rPr>
                <w:rFonts w:hint="eastAsia"/>
              </w:rPr>
              <w:t>±</w:t>
            </w:r>
            <w:r>
              <w:t>0.5</w:t>
            </w:r>
            <w:r>
              <w:rPr>
                <w:rFonts w:hint="eastAsia"/>
              </w:rPr>
              <w:t xml:space="preserve"> ℃</w:t>
            </w:r>
          </w:p>
        </w:tc>
        <w:tc>
          <w:tcPr>
            <w:tcW w:w="2344" w:type="dxa"/>
            <w:tcBorders>
              <w:top w:val="single" w:color="auto" w:sz="8" w:space="0"/>
            </w:tcBorders>
            <w:shd w:val="clear" w:color="auto" w:fill="auto"/>
            <w:vAlign w:val="center"/>
          </w:tcPr>
          <w:p w14:paraId="345E09DF">
            <w:pPr>
              <w:pStyle w:val="178"/>
            </w:pPr>
            <w:r>
              <w:rPr>
                <w:rFonts w:hint="eastAsia"/>
              </w:rPr>
              <w:t>不低于6</w:t>
            </w:r>
          </w:p>
        </w:tc>
      </w:tr>
      <w:tr w14:paraId="5913E5C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43" w:type="dxa"/>
            <w:shd w:val="clear" w:color="auto" w:fill="auto"/>
            <w:vAlign w:val="center"/>
          </w:tcPr>
          <w:p w14:paraId="7EF77CC0">
            <w:pPr>
              <w:pStyle w:val="178"/>
            </w:pPr>
            <w:r>
              <w:rPr>
                <w:rFonts w:hint="eastAsia"/>
              </w:rPr>
              <w:t>相对湿度</w:t>
            </w:r>
          </w:p>
        </w:tc>
        <w:tc>
          <w:tcPr>
            <w:tcW w:w="2343" w:type="dxa"/>
            <w:shd w:val="clear" w:color="auto" w:fill="auto"/>
            <w:vAlign w:val="center"/>
          </w:tcPr>
          <w:p w14:paraId="197F6D5E">
            <w:pPr>
              <w:pStyle w:val="178"/>
            </w:pPr>
            <w:r>
              <w:rPr>
                <w:rFonts w:hint="eastAsia"/>
              </w:rPr>
              <w:t>1</w:t>
            </w:r>
          </w:p>
        </w:tc>
        <w:tc>
          <w:tcPr>
            <w:tcW w:w="2344" w:type="dxa"/>
            <w:shd w:val="clear" w:color="auto" w:fill="auto"/>
            <w:vAlign w:val="center"/>
          </w:tcPr>
          <w:p w14:paraId="37C80184">
            <w:pPr>
              <w:pStyle w:val="178"/>
            </w:pPr>
            <w:r>
              <w:rPr>
                <w:rFonts w:hint="eastAsia"/>
              </w:rPr>
              <w:t>±4% (≤80%)</w:t>
            </w:r>
          </w:p>
          <w:p w14:paraId="2765BD4E">
            <w:pPr>
              <w:pStyle w:val="178"/>
            </w:pPr>
            <w:r>
              <w:rPr>
                <w:rFonts w:hint="eastAsia"/>
              </w:rPr>
              <w:t>±</w:t>
            </w:r>
            <w:r>
              <w:t>8%</w:t>
            </w:r>
            <w:r>
              <w:rPr>
                <w:rFonts w:hint="eastAsia"/>
              </w:rPr>
              <w:t xml:space="preserve"> </w:t>
            </w:r>
            <w:r>
              <w:t>(</w:t>
            </w:r>
            <w:r>
              <w:rPr>
                <w:rFonts w:hint="eastAsia"/>
              </w:rPr>
              <w:t>＞</w:t>
            </w:r>
            <w:r>
              <w:t>80%)</w:t>
            </w:r>
          </w:p>
        </w:tc>
        <w:tc>
          <w:tcPr>
            <w:tcW w:w="2344" w:type="dxa"/>
            <w:shd w:val="clear" w:color="auto" w:fill="auto"/>
            <w:vAlign w:val="center"/>
          </w:tcPr>
          <w:p w14:paraId="612D5A09">
            <w:pPr>
              <w:pStyle w:val="178"/>
            </w:pPr>
            <w:r>
              <w:rPr>
                <w:rFonts w:hint="eastAsia"/>
              </w:rPr>
              <w:t>不低于6</w:t>
            </w:r>
          </w:p>
        </w:tc>
      </w:tr>
      <w:tr w14:paraId="7281D66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43" w:type="dxa"/>
            <w:shd w:val="clear" w:color="auto" w:fill="auto"/>
            <w:vAlign w:val="center"/>
          </w:tcPr>
          <w:p w14:paraId="2456B8E5">
            <w:pPr>
              <w:pStyle w:val="178"/>
            </w:pPr>
            <w:r>
              <w:rPr>
                <w:rFonts w:hint="eastAsia"/>
              </w:rPr>
              <w:t>气压</w:t>
            </w:r>
          </w:p>
        </w:tc>
        <w:tc>
          <w:tcPr>
            <w:tcW w:w="2343" w:type="dxa"/>
            <w:shd w:val="clear" w:color="auto" w:fill="auto"/>
            <w:vAlign w:val="center"/>
          </w:tcPr>
          <w:p w14:paraId="54969701">
            <w:pPr>
              <w:pStyle w:val="178"/>
            </w:pPr>
            <w:r>
              <w:rPr>
                <w:rFonts w:hint="eastAsia"/>
              </w:rPr>
              <w:t>1 hPa</w:t>
            </w:r>
          </w:p>
        </w:tc>
        <w:tc>
          <w:tcPr>
            <w:tcW w:w="2344" w:type="dxa"/>
            <w:shd w:val="clear" w:color="auto" w:fill="auto"/>
            <w:vAlign w:val="center"/>
          </w:tcPr>
          <w:p w14:paraId="57CA5DBC">
            <w:pPr>
              <w:pStyle w:val="178"/>
            </w:pPr>
            <w:r>
              <w:rPr>
                <w:rFonts w:hint="eastAsia"/>
              </w:rPr>
              <w:t>±</w:t>
            </w:r>
            <w:r>
              <w:t>5</w:t>
            </w:r>
            <w:r>
              <w:rPr>
                <w:rFonts w:hint="eastAsia"/>
              </w:rPr>
              <w:t xml:space="preserve"> h</w:t>
            </w:r>
            <w:r>
              <w:t>Pa</w:t>
            </w:r>
          </w:p>
        </w:tc>
        <w:tc>
          <w:tcPr>
            <w:tcW w:w="2344" w:type="dxa"/>
            <w:shd w:val="clear" w:color="auto" w:fill="auto"/>
            <w:vAlign w:val="center"/>
          </w:tcPr>
          <w:p w14:paraId="3EC619DD">
            <w:pPr>
              <w:pStyle w:val="178"/>
            </w:pPr>
            <w:r>
              <w:rPr>
                <w:rFonts w:hint="eastAsia"/>
              </w:rPr>
              <w:t>不低于6</w:t>
            </w:r>
          </w:p>
        </w:tc>
      </w:tr>
      <w:tr w14:paraId="42821E5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43" w:type="dxa"/>
            <w:shd w:val="clear" w:color="auto" w:fill="auto"/>
            <w:vAlign w:val="center"/>
          </w:tcPr>
          <w:p w14:paraId="2B24E913">
            <w:pPr>
              <w:pStyle w:val="178"/>
            </w:pPr>
            <w:r>
              <w:rPr>
                <w:rFonts w:hint="eastAsia"/>
              </w:rPr>
              <w:t>风向</w:t>
            </w:r>
          </w:p>
        </w:tc>
        <w:tc>
          <w:tcPr>
            <w:tcW w:w="2343" w:type="dxa"/>
            <w:shd w:val="clear" w:color="auto" w:fill="auto"/>
            <w:vAlign w:val="center"/>
          </w:tcPr>
          <w:p w14:paraId="6C65D5DC">
            <w:pPr>
              <w:pStyle w:val="178"/>
            </w:pPr>
            <w:r>
              <w:rPr>
                <w:rFonts w:hint="eastAsia"/>
              </w:rPr>
              <w:t>3°</w:t>
            </w:r>
          </w:p>
        </w:tc>
        <w:tc>
          <w:tcPr>
            <w:tcW w:w="2344" w:type="dxa"/>
            <w:shd w:val="clear" w:color="auto" w:fill="auto"/>
            <w:vAlign w:val="center"/>
          </w:tcPr>
          <w:p w14:paraId="23EB1B36">
            <w:pPr>
              <w:pStyle w:val="178"/>
            </w:pPr>
            <w:r>
              <w:rPr>
                <w:rFonts w:hint="eastAsia"/>
              </w:rPr>
              <w:t>±</w:t>
            </w:r>
            <w:r>
              <w:t>5</w:t>
            </w:r>
            <w:r>
              <w:rPr>
                <w:rFonts w:hint="eastAsia"/>
              </w:rPr>
              <w:t>°</w:t>
            </w:r>
          </w:p>
        </w:tc>
        <w:tc>
          <w:tcPr>
            <w:tcW w:w="2344" w:type="dxa"/>
            <w:shd w:val="clear" w:color="auto" w:fill="auto"/>
            <w:vAlign w:val="center"/>
          </w:tcPr>
          <w:p w14:paraId="0E0E83C2">
            <w:pPr>
              <w:pStyle w:val="178"/>
            </w:pPr>
            <w:r>
              <w:rPr>
                <w:rFonts w:hint="eastAsia"/>
              </w:rPr>
              <w:t>不低于6</w:t>
            </w:r>
          </w:p>
        </w:tc>
      </w:tr>
      <w:tr w14:paraId="5FD4B86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43" w:type="dxa"/>
            <w:shd w:val="clear" w:color="auto" w:fill="auto"/>
            <w:vAlign w:val="center"/>
          </w:tcPr>
          <w:p w14:paraId="5DA37FB1">
            <w:pPr>
              <w:pStyle w:val="178"/>
            </w:pPr>
            <w:r>
              <w:rPr>
                <w:rFonts w:hint="eastAsia"/>
              </w:rPr>
              <w:t>风速</w:t>
            </w:r>
          </w:p>
        </w:tc>
        <w:tc>
          <w:tcPr>
            <w:tcW w:w="2343" w:type="dxa"/>
            <w:shd w:val="clear" w:color="auto" w:fill="auto"/>
            <w:vAlign w:val="center"/>
          </w:tcPr>
          <w:p w14:paraId="61A4A791">
            <w:pPr>
              <w:pStyle w:val="178"/>
            </w:pPr>
            <w:r>
              <w:rPr>
                <w:rFonts w:hint="eastAsia"/>
              </w:rPr>
              <w:t xml:space="preserve">0.1 </w:t>
            </w:r>
            <w:r>
              <w:t>m</w:t>
            </w:r>
            <w:r>
              <w:rPr>
                <w:rFonts w:hint="eastAsia"/>
              </w:rPr>
              <w:t>/</w:t>
            </w:r>
            <w:r>
              <w:t>s</w:t>
            </w:r>
          </w:p>
        </w:tc>
        <w:tc>
          <w:tcPr>
            <w:tcW w:w="2344" w:type="dxa"/>
            <w:shd w:val="clear" w:color="auto" w:fill="auto"/>
            <w:vAlign w:val="center"/>
          </w:tcPr>
          <w:p w14:paraId="2E3B1A0E">
            <w:pPr>
              <w:pStyle w:val="178"/>
            </w:pPr>
            <w:r>
              <w:rPr>
                <w:rFonts w:hint="eastAsia"/>
              </w:rPr>
              <w:t xml:space="preserve">±0.5 </w:t>
            </w:r>
            <w:r>
              <w:t>m</w:t>
            </w:r>
            <w:r>
              <w:rPr>
                <w:rFonts w:hint="eastAsia"/>
              </w:rPr>
              <w:t>/</w:t>
            </w:r>
            <w:r>
              <w:t>s</w:t>
            </w:r>
            <w:r>
              <w:rPr>
                <w:rFonts w:hint="eastAsia"/>
              </w:rPr>
              <w:t xml:space="preserve">(≤5 </w:t>
            </w:r>
            <w:r>
              <w:t>m</w:t>
            </w:r>
            <w:r>
              <w:rPr>
                <w:rFonts w:hint="eastAsia"/>
              </w:rPr>
              <w:t>/</w:t>
            </w:r>
            <w:r>
              <w:t>s</w:t>
            </w:r>
            <w:r>
              <w:rPr>
                <w:rFonts w:hint="eastAsia"/>
              </w:rPr>
              <w:t>)</w:t>
            </w:r>
          </w:p>
          <w:p w14:paraId="5D9BB6C9">
            <w:pPr>
              <w:pStyle w:val="178"/>
            </w:pPr>
            <w:r>
              <w:rPr>
                <w:rFonts w:hint="eastAsia"/>
              </w:rPr>
              <w:t xml:space="preserve">±10 %（＞5 </w:t>
            </w:r>
            <w:r>
              <w:t>m</w:t>
            </w:r>
            <w:r>
              <w:rPr>
                <w:rFonts w:hint="eastAsia"/>
              </w:rPr>
              <w:t>/</w:t>
            </w:r>
            <w:r>
              <w:t>s</w:t>
            </w:r>
            <w:r>
              <w:rPr>
                <w:rFonts w:hint="eastAsia"/>
              </w:rPr>
              <w:t>）</w:t>
            </w:r>
          </w:p>
        </w:tc>
        <w:tc>
          <w:tcPr>
            <w:tcW w:w="2344" w:type="dxa"/>
            <w:shd w:val="clear" w:color="auto" w:fill="auto"/>
            <w:vAlign w:val="center"/>
          </w:tcPr>
          <w:p w14:paraId="00BA3B40">
            <w:pPr>
              <w:pStyle w:val="178"/>
            </w:pPr>
            <w:r>
              <w:rPr>
                <w:rFonts w:hint="eastAsia"/>
              </w:rPr>
              <w:t>不低于6</w:t>
            </w:r>
          </w:p>
        </w:tc>
      </w:tr>
      <w:tr w14:paraId="5E234C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43" w:type="dxa"/>
            <w:shd w:val="clear" w:color="auto" w:fill="auto"/>
            <w:vAlign w:val="center"/>
          </w:tcPr>
          <w:p w14:paraId="63E8D920">
            <w:pPr>
              <w:pStyle w:val="178"/>
            </w:pPr>
            <w:r>
              <w:rPr>
                <w:rFonts w:hint="eastAsia"/>
              </w:rPr>
              <w:t>光照</w:t>
            </w:r>
          </w:p>
        </w:tc>
        <w:tc>
          <w:tcPr>
            <w:tcW w:w="2343" w:type="dxa"/>
            <w:shd w:val="clear" w:color="auto" w:fill="auto"/>
            <w:vAlign w:val="center"/>
          </w:tcPr>
          <w:p w14:paraId="7336996E">
            <w:pPr>
              <w:pStyle w:val="178"/>
            </w:pPr>
            <w:r>
              <w:rPr>
                <w:rFonts w:hint="eastAsia"/>
              </w:rPr>
              <w:t xml:space="preserve">1 </w:t>
            </w:r>
            <w:r>
              <w:t>lx</w:t>
            </w:r>
          </w:p>
        </w:tc>
        <w:tc>
          <w:tcPr>
            <w:tcW w:w="2344" w:type="dxa"/>
            <w:shd w:val="clear" w:color="auto" w:fill="auto"/>
            <w:vAlign w:val="center"/>
          </w:tcPr>
          <w:p w14:paraId="3AD1D180">
            <w:pPr>
              <w:pStyle w:val="178"/>
            </w:pPr>
            <w:r>
              <w:rPr>
                <w:rFonts w:hint="eastAsia"/>
              </w:rPr>
              <w:t>±</w:t>
            </w:r>
            <w:r>
              <w:t>5</w:t>
            </w:r>
            <w:r>
              <w:rPr>
                <w:rFonts w:hint="eastAsia"/>
              </w:rPr>
              <w:t xml:space="preserve"> %FS</w:t>
            </w:r>
          </w:p>
        </w:tc>
        <w:tc>
          <w:tcPr>
            <w:tcW w:w="2344" w:type="dxa"/>
            <w:shd w:val="clear" w:color="auto" w:fill="auto"/>
            <w:vAlign w:val="center"/>
          </w:tcPr>
          <w:p w14:paraId="7CF78961">
            <w:pPr>
              <w:pStyle w:val="178"/>
            </w:pPr>
            <w:r>
              <w:rPr>
                <w:rFonts w:hint="eastAsia"/>
              </w:rPr>
              <w:t>不低于1</w:t>
            </w:r>
          </w:p>
        </w:tc>
      </w:tr>
      <w:tr w14:paraId="32FA350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43" w:type="dxa"/>
            <w:shd w:val="clear" w:color="auto" w:fill="auto"/>
            <w:vAlign w:val="center"/>
          </w:tcPr>
          <w:p w14:paraId="5B60228C">
            <w:pPr>
              <w:pStyle w:val="178"/>
            </w:pPr>
            <w:r>
              <w:rPr>
                <w:rFonts w:hint="eastAsia"/>
              </w:rPr>
              <w:t>噪音</w:t>
            </w:r>
          </w:p>
        </w:tc>
        <w:tc>
          <w:tcPr>
            <w:tcW w:w="2343" w:type="dxa"/>
            <w:shd w:val="clear" w:color="auto" w:fill="auto"/>
            <w:vAlign w:val="center"/>
          </w:tcPr>
          <w:p w14:paraId="500E1819">
            <w:pPr>
              <w:pStyle w:val="178"/>
            </w:pPr>
            <w:r>
              <w:rPr>
                <w:rFonts w:hint="eastAsia"/>
              </w:rPr>
              <w:t>1 dB</w:t>
            </w:r>
          </w:p>
        </w:tc>
        <w:tc>
          <w:tcPr>
            <w:tcW w:w="2344" w:type="dxa"/>
            <w:shd w:val="clear" w:color="auto" w:fill="auto"/>
            <w:vAlign w:val="center"/>
          </w:tcPr>
          <w:p w14:paraId="7078BA71">
            <w:pPr>
              <w:pStyle w:val="178"/>
            </w:pPr>
            <w:r>
              <w:rPr>
                <w:rFonts w:hint="eastAsia"/>
              </w:rPr>
              <w:t>±</w:t>
            </w:r>
            <w:r>
              <w:t>5</w:t>
            </w:r>
            <w:r>
              <w:rPr>
                <w:rFonts w:hint="eastAsia"/>
              </w:rPr>
              <w:t xml:space="preserve"> dB</w:t>
            </w:r>
          </w:p>
        </w:tc>
        <w:tc>
          <w:tcPr>
            <w:tcW w:w="2344" w:type="dxa"/>
            <w:shd w:val="clear" w:color="auto" w:fill="auto"/>
            <w:vAlign w:val="center"/>
          </w:tcPr>
          <w:p w14:paraId="40FE8F60">
            <w:pPr>
              <w:pStyle w:val="178"/>
            </w:pPr>
            <w:r>
              <w:rPr>
                <w:rFonts w:hint="eastAsia"/>
              </w:rPr>
              <w:t>不低于1</w:t>
            </w:r>
          </w:p>
        </w:tc>
      </w:tr>
      <w:tr w14:paraId="2A74C8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43" w:type="dxa"/>
            <w:shd w:val="clear" w:color="auto" w:fill="auto"/>
            <w:vAlign w:val="center"/>
          </w:tcPr>
          <w:p w14:paraId="36029535">
            <w:pPr>
              <w:pStyle w:val="178"/>
            </w:pPr>
            <w:r>
              <w:t>PM</w:t>
            </w:r>
            <w:r>
              <w:rPr>
                <w:vertAlign w:val="subscript"/>
              </w:rPr>
              <w:t>2.5</w:t>
            </w:r>
          </w:p>
        </w:tc>
        <w:tc>
          <w:tcPr>
            <w:tcW w:w="2343" w:type="dxa"/>
            <w:shd w:val="clear" w:color="auto" w:fill="auto"/>
            <w:vAlign w:val="center"/>
          </w:tcPr>
          <w:p w14:paraId="78C91E27">
            <w:pPr>
              <w:pStyle w:val="178"/>
            </w:pPr>
            <w:r>
              <w:rPr>
                <w:rFonts w:hint="eastAsia"/>
              </w:rPr>
              <w:t>1 μ</w:t>
            </w:r>
            <w:r>
              <w:t>g/m</w:t>
            </w:r>
            <w:r>
              <w:rPr>
                <w:vertAlign w:val="superscript"/>
              </w:rPr>
              <w:t>3</w:t>
            </w:r>
          </w:p>
        </w:tc>
        <w:tc>
          <w:tcPr>
            <w:tcW w:w="2344" w:type="dxa"/>
            <w:shd w:val="clear" w:color="auto" w:fill="auto"/>
            <w:vAlign w:val="center"/>
          </w:tcPr>
          <w:p w14:paraId="2E8F0049">
            <w:pPr>
              <w:pStyle w:val="178"/>
            </w:pPr>
            <w:r>
              <w:rPr>
                <w:rFonts w:hint="eastAsia"/>
              </w:rPr>
              <w:t>±</w:t>
            </w:r>
            <w:r>
              <w:t>5</w:t>
            </w:r>
            <w:r>
              <w:rPr>
                <w:rFonts w:hint="eastAsia"/>
              </w:rPr>
              <w:t xml:space="preserve"> %FS</w:t>
            </w:r>
          </w:p>
        </w:tc>
        <w:tc>
          <w:tcPr>
            <w:tcW w:w="2344" w:type="dxa"/>
            <w:shd w:val="clear" w:color="auto" w:fill="auto"/>
            <w:vAlign w:val="center"/>
          </w:tcPr>
          <w:p w14:paraId="664A75D0">
            <w:pPr>
              <w:pStyle w:val="178"/>
            </w:pPr>
            <w:r>
              <w:rPr>
                <w:rFonts w:hint="eastAsia"/>
              </w:rPr>
              <w:t>不低于1</w:t>
            </w:r>
          </w:p>
        </w:tc>
      </w:tr>
      <w:tr w14:paraId="1BDD138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43" w:type="dxa"/>
            <w:shd w:val="clear" w:color="auto" w:fill="auto"/>
            <w:vAlign w:val="center"/>
          </w:tcPr>
          <w:p w14:paraId="49811CF5">
            <w:pPr>
              <w:pStyle w:val="178"/>
            </w:pPr>
            <w:r>
              <w:t>PM</w:t>
            </w:r>
            <w:r>
              <w:rPr>
                <w:vertAlign w:val="subscript"/>
              </w:rPr>
              <w:t>10</w:t>
            </w:r>
          </w:p>
        </w:tc>
        <w:tc>
          <w:tcPr>
            <w:tcW w:w="2343" w:type="dxa"/>
            <w:shd w:val="clear" w:color="auto" w:fill="auto"/>
            <w:vAlign w:val="center"/>
          </w:tcPr>
          <w:p w14:paraId="1D1771D2">
            <w:pPr>
              <w:pStyle w:val="178"/>
            </w:pPr>
            <w:r>
              <w:rPr>
                <w:rFonts w:hint="eastAsia"/>
              </w:rPr>
              <w:t>1 μ</w:t>
            </w:r>
            <w:r>
              <w:t>g/m</w:t>
            </w:r>
            <w:r>
              <w:rPr>
                <w:vertAlign w:val="superscript"/>
              </w:rPr>
              <w:t>3</w:t>
            </w:r>
          </w:p>
        </w:tc>
        <w:tc>
          <w:tcPr>
            <w:tcW w:w="2344" w:type="dxa"/>
            <w:shd w:val="clear" w:color="auto" w:fill="auto"/>
            <w:vAlign w:val="center"/>
          </w:tcPr>
          <w:p w14:paraId="2E2D14DA">
            <w:pPr>
              <w:pStyle w:val="178"/>
            </w:pPr>
            <w:r>
              <w:rPr>
                <w:rFonts w:hint="eastAsia"/>
              </w:rPr>
              <w:t>±</w:t>
            </w:r>
            <w:r>
              <w:t>5</w:t>
            </w:r>
            <w:r>
              <w:rPr>
                <w:rFonts w:hint="eastAsia"/>
              </w:rPr>
              <w:t xml:space="preserve"> %FS</w:t>
            </w:r>
          </w:p>
        </w:tc>
        <w:tc>
          <w:tcPr>
            <w:tcW w:w="2344" w:type="dxa"/>
            <w:shd w:val="clear" w:color="auto" w:fill="auto"/>
            <w:vAlign w:val="center"/>
          </w:tcPr>
          <w:p w14:paraId="51155F1B">
            <w:pPr>
              <w:pStyle w:val="178"/>
            </w:pPr>
            <w:r>
              <w:rPr>
                <w:rFonts w:hint="eastAsia"/>
              </w:rPr>
              <w:t>不低于1</w:t>
            </w:r>
          </w:p>
        </w:tc>
      </w:tr>
      <w:tr w14:paraId="3710A13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43" w:type="dxa"/>
            <w:shd w:val="clear" w:color="auto" w:fill="auto"/>
            <w:vAlign w:val="center"/>
          </w:tcPr>
          <w:p w14:paraId="14624270">
            <w:pPr>
              <w:pStyle w:val="178"/>
            </w:pPr>
            <w:r>
              <w:rPr>
                <w:rFonts w:hint="eastAsia"/>
              </w:rPr>
              <w:t>氨气</w:t>
            </w:r>
          </w:p>
        </w:tc>
        <w:tc>
          <w:tcPr>
            <w:tcW w:w="2343" w:type="dxa"/>
            <w:shd w:val="clear" w:color="auto" w:fill="auto"/>
            <w:vAlign w:val="center"/>
          </w:tcPr>
          <w:p w14:paraId="362B9DE4">
            <w:pPr>
              <w:pStyle w:val="178"/>
            </w:pPr>
            <w:r>
              <w:rPr>
                <w:rFonts w:hint="eastAsia"/>
              </w:rPr>
              <w:t>0.1 ppm</w:t>
            </w:r>
          </w:p>
        </w:tc>
        <w:tc>
          <w:tcPr>
            <w:tcW w:w="2344" w:type="dxa"/>
            <w:shd w:val="clear" w:color="auto" w:fill="auto"/>
            <w:vAlign w:val="center"/>
          </w:tcPr>
          <w:p w14:paraId="5E65C674">
            <w:pPr>
              <w:pStyle w:val="178"/>
            </w:pPr>
            <w:r>
              <w:rPr>
                <w:rFonts w:hint="eastAsia"/>
              </w:rPr>
              <w:t>±1 %FS</w:t>
            </w:r>
          </w:p>
        </w:tc>
        <w:tc>
          <w:tcPr>
            <w:tcW w:w="2344" w:type="dxa"/>
            <w:shd w:val="clear" w:color="auto" w:fill="auto"/>
            <w:vAlign w:val="center"/>
          </w:tcPr>
          <w:p w14:paraId="195AA429">
            <w:pPr>
              <w:pStyle w:val="178"/>
            </w:pPr>
            <w:r>
              <w:rPr>
                <w:rFonts w:hint="eastAsia"/>
              </w:rPr>
              <w:t>不低于6</w:t>
            </w:r>
          </w:p>
        </w:tc>
      </w:tr>
      <w:tr w14:paraId="58E27A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43" w:type="dxa"/>
            <w:tcBorders>
              <w:bottom w:val="single" w:color="auto" w:sz="8" w:space="0"/>
            </w:tcBorders>
            <w:shd w:val="clear" w:color="auto" w:fill="auto"/>
            <w:vAlign w:val="center"/>
          </w:tcPr>
          <w:p w14:paraId="1BD7F058">
            <w:pPr>
              <w:pStyle w:val="178"/>
            </w:pPr>
            <w:r>
              <w:rPr>
                <w:rFonts w:hint="eastAsia"/>
              </w:rPr>
              <w:t>甲烷</w:t>
            </w:r>
          </w:p>
        </w:tc>
        <w:tc>
          <w:tcPr>
            <w:tcW w:w="2343" w:type="dxa"/>
            <w:tcBorders>
              <w:bottom w:val="single" w:color="auto" w:sz="8" w:space="0"/>
            </w:tcBorders>
            <w:shd w:val="clear" w:color="auto" w:fill="auto"/>
            <w:vAlign w:val="center"/>
          </w:tcPr>
          <w:p w14:paraId="5D0C0F8E">
            <w:pPr>
              <w:pStyle w:val="178"/>
            </w:pPr>
            <w:r>
              <w:rPr>
                <w:rFonts w:hint="eastAsia"/>
              </w:rPr>
              <w:t>0.1 ppm</w:t>
            </w:r>
          </w:p>
        </w:tc>
        <w:tc>
          <w:tcPr>
            <w:tcW w:w="2344" w:type="dxa"/>
            <w:tcBorders>
              <w:bottom w:val="single" w:color="auto" w:sz="8" w:space="0"/>
            </w:tcBorders>
            <w:shd w:val="clear" w:color="auto" w:fill="auto"/>
            <w:vAlign w:val="center"/>
          </w:tcPr>
          <w:p w14:paraId="28FC5085">
            <w:pPr>
              <w:pStyle w:val="178"/>
            </w:pPr>
            <w:r>
              <w:rPr>
                <w:rFonts w:hint="eastAsia"/>
              </w:rPr>
              <w:t>±3 %FS</w:t>
            </w:r>
          </w:p>
        </w:tc>
        <w:tc>
          <w:tcPr>
            <w:tcW w:w="2344" w:type="dxa"/>
            <w:tcBorders>
              <w:bottom w:val="single" w:color="auto" w:sz="8" w:space="0"/>
            </w:tcBorders>
            <w:shd w:val="clear" w:color="auto" w:fill="auto"/>
            <w:vAlign w:val="center"/>
          </w:tcPr>
          <w:p w14:paraId="192DBDB3">
            <w:pPr>
              <w:pStyle w:val="178"/>
            </w:pPr>
            <w:r>
              <w:rPr>
                <w:rFonts w:hint="eastAsia"/>
              </w:rPr>
              <w:t>不低于6</w:t>
            </w:r>
          </w:p>
        </w:tc>
      </w:tr>
    </w:tbl>
    <w:p w14:paraId="720BA3A1">
      <w:pPr>
        <w:pStyle w:val="105"/>
        <w:spacing w:before="156" w:after="156"/>
      </w:pPr>
      <w:bookmarkStart w:id="123" w:name="_Toc160713028"/>
      <w:bookmarkEnd w:id="123"/>
      <w:bookmarkStart w:id="124" w:name="_Toc154579502"/>
      <w:bookmarkEnd w:id="124"/>
      <w:bookmarkStart w:id="125" w:name="_Toc160688978"/>
      <w:bookmarkEnd w:id="125"/>
      <w:bookmarkStart w:id="126" w:name="_Toc177903633"/>
      <w:bookmarkEnd w:id="126"/>
      <w:bookmarkStart w:id="127" w:name="_Toc177903648"/>
      <w:bookmarkEnd w:id="127"/>
      <w:bookmarkStart w:id="128" w:name="_Toc151448063"/>
      <w:bookmarkEnd w:id="128"/>
      <w:bookmarkStart w:id="129" w:name="_Toc160688962"/>
      <w:bookmarkEnd w:id="129"/>
      <w:r>
        <w:rPr>
          <w:rFonts w:hint="eastAsia"/>
        </w:rPr>
        <w:t>监测仪器维护</w:t>
      </w:r>
    </w:p>
    <w:p w14:paraId="2CFD066E">
      <w:pPr>
        <w:pStyle w:val="56"/>
        <w:ind w:firstLine="420"/>
      </w:pPr>
      <w:r>
        <w:rPr>
          <w:rFonts w:hint="eastAsia"/>
        </w:rPr>
        <w:t>应符合下列要求：</w:t>
      </w:r>
    </w:p>
    <w:p w14:paraId="768737CD">
      <w:pPr>
        <w:pStyle w:val="56"/>
        <w:ind w:firstLine="420"/>
      </w:pPr>
      <w:r>
        <w:rPr>
          <w:rFonts w:hint="eastAsia"/>
        </w:rPr>
        <w:t>-定期维护观测场地和仪器，清洁仪器，记录仪器状态信息；</w:t>
      </w:r>
    </w:p>
    <w:p w14:paraId="5C2E574B">
      <w:pPr>
        <w:pStyle w:val="56"/>
        <w:ind w:firstLine="420"/>
      </w:pPr>
      <w:r>
        <w:rPr>
          <w:rFonts w:hint="eastAsia"/>
        </w:rPr>
        <w:t xml:space="preserve">-发现仪器有故障时，及时维修或更换。 </w:t>
      </w:r>
    </w:p>
    <w:p w14:paraId="4D4AF6DA">
      <w:pPr>
        <w:pStyle w:val="104"/>
        <w:spacing w:before="312" w:after="312"/>
      </w:pPr>
      <w:bookmarkStart w:id="130" w:name="_Toc178858758"/>
      <w:bookmarkStart w:id="131" w:name="_Toc178863167"/>
      <w:r>
        <w:rPr>
          <w:rFonts w:hint="eastAsia"/>
        </w:rPr>
        <w:t>监测数据文件</w:t>
      </w:r>
      <w:bookmarkEnd w:id="130"/>
      <w:bookmarkEnd w:id="131"/>
    </w:p>
    <w:p w14:paraId="300EA9F9">
      <w:pPr>
        <w:pStyle w:val="105"/>
        <w:spacing w:before="156" w:after="156"/>
        <w:rPr>
          <w:rFonts w:ascii="宋体" w:eastAsia="宋体"/>
        </w:rPr>
      </w:pPr>
      <w:bookmarkStart w:id="132" w:name="_Toc151448064"/>
      <w:bookmarkStart w:id="133" w:name="_Toc177903634"/>
      <w:bookmarkStart w:id="134" w:name="_Toc160688963"/>
      <w:bookmarkStart w:id="135" w:name="_Toc154579503"/>
      <w:r>
        <w:rPr>
          <w:rFonts w:hint="eastAsia" w:ascii="宋体" w:eastAsia="宋体"/>
        </w:rPr>
        <w:t>数据应包括监测点信息、仪器信息和监测数据。</w:t>
      </w:r>
      <w:bookmarkEnd w:id="132"/>
      <w:bookmarkEnd w:id="133"/>
      <w:bookmarkEnd w:id="134"/>
      <w:bookmarkEnd w:id="135"/>
    </w:p>
    <w:p w14:paraId="60A6AA23">
      <w:pPr>
        <w:pStyle w:val="105"/>
        <w:spacing w:before="156" w:after="156"/>
        <w:rPr>
          <w:rFonts w:ascii="宋体" w:eastAsia="宋体"/>
        </w:rPr>
      </w:pPr>
      <w:bookmarkStart w:id="136" w:name="_Toc151448066"/>
      <w:bookmarkStart w:id="137" w:name="_Toc160688965"/>
      <w:bookmarkStart w:id="138" w:name="_Toc177903636"/>
      <w:bookmarkStart w:id="139" w:name="_Toc154579505"/>
      <w:r>
        <w:rPr>
          <w:rFonts w:hint="eastAsia" w:ascii="宋体" w:eastAsia="宋体"/>
        </w:rPr>
        <w:t>监测点信息包括监测点名称、经纬度和海拔高度。</w:t>
      </w:r>
      <w:bookmarkEnd w:id="136"/>
      <w:bookmarkEnd w:id="137"/>
      <w:bookmarkEnd w:id="138"/>
      <w:bookmarkEnd w:id="139"/>
    </w:p>
    <w:p w14:paraId="223D0B5E">
      <w:pPr>
        <w:pStyle w:val="105"/>
        <w:spacing w:before="156" w:after="156"/>
        <w:rPr>
          <w:rFonts w:ascii="宋体" w:eastAsia="宋体"/>
        </w:rPr>
      </w:pPr>
      <w:bookmarkStart w:id="140" w:name="_Toc177903637"/>
      <w:bookmarkStart w:id="141" w:name="_Toc160688966"/>
      <w:bookmarkStart w:id="142" w:name="_Toc151448067"/>
      <w:bookmarkStart w:id="143" w:name="_Toc154579506"/>
      <w:r>
        <w:rPr>
          <w:rFonts w:hint="eastAsia" w:ascii="宋体" w:eastAsia="宋体"/>
        </w:rPr>
        <w:t>仪器信息包括厂家、型号和安装时间等观测仪器基本参数。</w:t>
      </w:r>
      <w:bookmarkEnd w:id="140"/>
      <w:bookmarkEnd w:id="141"/>
      <w:bookmarkEnd w:id="142"/>
      <w:bookmarkEnd w:id="143"/>
    </w:p>
    <w:p w14:paraId="30F25408">
      <w:pPr>
        <w:pStyle w:val="105"/>
        <w:spacing w:before="156" w:after="156"/>
        <w:rPr>
          <w:rFonts w:ascii="宋体" w:eastAsia="宋体"/>
        </w:rPr>
      </w:pPr>
      <w:bookmarkStart w:id="144" w:name="_Toc151448068"/>
      <w:bookmarkStart w:id="145" w:name="_Toc154579507"/>
      <w:bookmarkStart w:id="146" w:name="_Toc177903638"/>
      <w:bookmarkStart w:id="147" w:name="_Toc160688967"/>
      <w:r>
        <w:rPr>
          <w:rFonts w:hint="eastAsia" w:ascii="宋体" w:eastAsia="宋体"/>
        </w:rPr>
        <w:t>监测数据包括奶牛场基本信息、监测时间、监测要素、监测数值。</w:t>
      </w:r>
      <w:bookmarkEnd w:id="144"/>
      <w:bookmarkEnd w:id="145"/>
      <w:bookmarkEnd w:id="146"/>
      <w:bookmarkEnd w:id="147"/>
    </w:p>
    <w:p w14:paraId="7C547D23">
      <w:pPr>
        <w:pStyle w:val="56"/>
        <w:ind w:firstLine="420"/>
      </w:pPr>
    </w:p>
    <w:p w14:paraId="0E17B057">
      <w:pPr>
        <w:pStyle w:val="56"/>
        <w:ind w:firstLine="420"/>
        <w:sectPr>
          <w:pgSz w:w="11906" w:h="16838"/>
          <w:pgMar w:top="2410" w:right="1134" w:bottom="1134" w:left="1134" w:header="1418" w:footer="1134" w:gutter="284"/>
          <w:pgNumType w:start="1"/>
          <w:cols w:space="425" w:num="1"/>
          <w:formProt w:val="0"/>
          <w:docGrid w:type="lines" w:linePitch="312" w:charSpace="0"/>
        </w:sectPr>
      </w:pPr>
    </w:p>
    <w:bookmarkEnd w:id="30"/>
    <w:p w14:paraId="221F1234">
      <w:pPr>
        <w:pStyle w:val="198"/>
        <w:rPr>
          <w:vanish w:val="0"/>
        </w:rPr>
      </w:pPr>
      <w:bookmarkStart w:id="148" w:name="BookMark5"/>
    </w:p>
    <w:p w14:paraId="70DA7EA5">
      <w:pPr>
        <w:pStyle w:val="199"/>
        <w:rPr>
          <w:vanish w:val="0"/>
        </w:rPr>
      </w:pPr>
    </w:p>
    <w:p w14:paraId="48611037">
      <w:pPr>
        <w:pStyle w:val="76"/>
        <w:spacing w:before="78" w:after="156"/>
      </w:pPr>
      <w:r>
        <w:br w:type="textWrapping"/>
      </w:r>
      <w:bookmarkStart w:id="149" w:name="_Toc178863168"/>
      <w:bookmarkStart w:id="150" w:name="_Toc178858759"/>
      <w:bookmarkStart w:id="151" w:name="_Toc177903639"/>
      <w:bookmarkStart w:id="152" w:name="_Toc177903649"/>
      <w:r>
        <w:rPr>
          <w:rFonts w:hint="eastAsia"/>
        </w:rPr>
        <w:t>（资料性）</w:t>
      </w:r>
      <w:r>
        <w:br w:type="textWrapping"/>
      </w:r>
      <w:r>
        <w:rPr>
          <w:rFonts w:hint="eastAsia"/>
        </w:rPr>
        <w:t>牛舍区域监测仪器布设位置</w:t>
      </w:r>
      <w:bookmarkEnd w:id="149"/>
      <w:bookmarkEnd w:id="150"/>
      <w:bookmarkEnd w:id="151"/>
      <w:bookmarkEnd w:id="152"/>
    </w:p>
    <w:p w14:paraId="389D2740">
      <w:pPr>
        <w:pStyle w:val="56"/>
        <w:ind w:firstLine="420"/>
      </w:pPr>
      <w:r>
        <w:rPr>
          <w:rFonts w:hint="eastAsia"/>
        </w:rPr>
        <w:t>牛舍区域监测仪器布设位置见图A。当单个牛舍面积10000 m</w:t>
      </w:r>
      <w:r>
        <w:rPr>
          <w:rFonts w:hint="eastAsia"/>
          <w:vertAlign w:val="superscript"/>
        </w:rPr>
        <w:t>2</w:t>
      </w:r>
      <w:r>
        <w:rPr>
          <w:rFonts w:hint="eastAsia"/>
        </w:rPr>
        <w:t>以下时，监测仪器布设示意图见图A.1，单个牛舍面积10000 m</w:t>
      </w:r>
      <w:r>
        <w:rPr>
          <w:rFonts w:hint="eastAsia"/>
          <w:vertAlign w:val="superscript"/>
        </w:rPr>
        <w:t>2</w:t>
      </w:r>
      <w:r>
        <w:rPr>
          <w:rFonts w:hint="eastAsia"/>
        </w:rPr>
        <w:t>以上时，监测仪器布设示意图见图A.2。</w:t>
      </w:r>
    </w:p>
    <w:p w14:paraId="2590D1B5">
      <w:pPr>
        <w:pStyle w:val="56"/>
        <w:ind w:firstLine="420"/>
        <w:jc w:val="center"/>
      </w:pPr>
      <w:r>
        <w:drawing>
          <wp:inline distT="0" distB="0" distL="0" distR="0">
            <wp:extent cx="3528060" cy="2066925"/>
            <wp:effectExtent l="0" t="0" r="0" b="9525"/>
            <wp:docPr id="4" name="图片 4" descr="C:\Users\DELL\Documents\WPSDrive\355438279\WPS云盘\3_生态科技牧场\1_科技部-科技助力\1_地方_行业_标准\1_地方标准\2022地标实施\未标题-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DELL\Documents\WPSDrive\355438279\WPS云盘\3_生态科技牧场\1_科技部-科技助力\1_地方_行业_标准\1_地方标准\2022地标实施\未标题-1.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528060" cy="2067319"/>
                    </a:xfrm>
                    <a:prstGeom prst="rect">
                      <a:avLst/>
                    </a:prstGeom>
                    <a:noFill/>
                    <a:ln>
                      <a:noFill/>
                    </a:ln>
                  </pic:spPr>
                </pic:pic>
              </a:graphicData>
            </a:graphic>
          </wp:inline>
        </w:drawing>
      </w:r>
    </w:p>
    <w:p w14:paraId="13F32E4D">
      <w:pPr>
        <w:pStyle w:val="83"/>
        <w:spacing w:before="156" w:after="156"/>
      </w:pPr>
      <w:r>
        <w:rPr>
          <w:rFonts w:hint="eastAsia"/>
        </w:rPr>
        <w:t>对角线布点法示意图</w:t>
      </w:r>
    </w:p>
    <w:p w14:paraId="0B036810">
      <w:pPr>
        <w:pStyle w:val="56"/>
        <w:ind w:firstLine="420"/>
        <w:jc w:val="center"/>
      </w:pPr>
      <w:r>
        <w:drawing>
          <wp:inline distT="0" distB="0" distL="0" distR="0">
            <wp:extent cx="3589020" cy="2102485"/>
            <wp:effectExtent l="0" t="0" r="0" b="0"/>
            <wp:docPr id="6" name="图片 6" descr="C:\Users\DELL\Documents\WPSDrive\355438279\WPS云盘\3_生态科技牧场\1_科技部-科技助力\1_地方_行业_标准\1_地方标准\2022地标实施\未标题-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DELL\Documents\WPSDrive\355438279\WPS云盘\3_生态科技牧场\1_科技部-科技助力\1_地方_行业_标准\1_地方标准\2022地标实施\未标题-2.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589020" cy="2103040"/>
                    </a:xfrm>
                    <a:prstGeom prst="rect">
                      <a:avLst/>
                    </a:prstGeom>
                    <a:noFill/>
                    <a:ln>
                      <a:noFill/>
                    </a:ln>
                  </pic:spPr>
                </pic:pic>
              </a:graphicData>
            </a:graphic>
          </wp:inline>
        </w:drawing>
      </w:r>
    </w:p>
    <w:p w14:paraId="6130534E">
      <w:pPr>
        <w:pStyle w:val="83"/>
        <w:spacing w:before="156" w:after="156"/>
      </w:pPr>
      <w:r>
        <w:rPr>
          <w:rFonts w:hint="eastAsia"/>
        </w:rPr>
        <w:t>梅花形布点法示意图</w:t>
      </w:r>
    </w:p>
    <w:p w14:paraId="0890ABE3">
      <w:pPr>
        <w:pStyle w:val="56"/>
        <w:ind w:firstLine="420"/>
        <w:jc w:val="center"/>
        <w:sectPr>
          <w:pgSz w:w="11906" w:h="16838"/>
          <w:pgMar w:top="2410" w:right="1134" w:bottom="1134" w:left="1134" w:header="1418" w:footer="1134" w:gutter="284"/>
          <w:cols w:space="425" w:num="1"/>
          <w:formProt w:val="0"/>
          <w:docGrid w:type="lines" w:linePitch="312" w:charSpace="0"/>
        </w:sectPr>
      </w:pPr>
      <w:r>
        <w:drawing>
          <wp:inline distT="0" distB="0" distL="0" distR="0">
            <wp:extent cx="1485900" cy="317500"/>
            <wp:effectExtent l="0" t="0" r="0" b="635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8"/>
                    <a:stretch>
                      <a:fillRect/>
                    </a:stretch>
                  </pic:blipFill>
                  <pic:spPr>
                    <a:xfrm>
                      <a:off x="0" y="0"/>
                      <a:ext cx="1485900" cy="317500"/>
                    </a:xfrm>
                    <a:prstGeom prst="rect">
                      <a:avLst/>
                    </a:prstGeom>
                  </pic:spPr>
                </pic:pic>
              </a:graphicData>
            </a:graphic>
          </wp:inline>
        </w:drawing>
      </w:r>
    </w:p>
    <w:p w14:paraId="0F157538">
      <w:pPr>
        <w:pStyle w:val="198"/>
        <w:rPr>
          <w:vanish w:val="0"/>
        </w:rPr>
      </w:pPr>
    </w:p>
    <w:p w14:paraId="4C335460">
      <w:pPr>
        <w:pStyle w:val="198"/>
        <w:numPr>
          <w:ilvl w:val="0"/>
          <w:numId w:val="0"/>
        </w:numPr>
        <w:ind w:left="420"/>
        <w:jc w:val="both"/>
        <w:rPr>
          <w:vanish w:val="0"/>
        </w:rPr>
      </w:pPr>
    </w:p>
    <w:bookmarkEnd w:id="148"/>
    <w:p w14:paraId="5546CBEA">
      <w:pPr>
        <w:pStyle w:val="199"/>
      </w:pPr>
    </w:p>
    <w:sectPr>
      <w:pgSz w:w="11906" w:h="16838"/>
      <w:pgMar w:top="2410"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7D0826">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F1EF6D">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819826">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1080C8">
    <w:pPr>
      <w:pStyle w:val="52"/>
    </w:pPr>
    <w:r>
      <w:fldChar w:fldCharType="begin"/>
    </w:r>
    <w:r>
      <w:instrText xml:space="preserve">PAGE   \* MERGEFORMAT</w:instrText>
    </w:r>
    <w:r>
      <w:fldChar w:fldCharType="separate"/>
    </w:r>
    <w:r>
      <w:rPr>
        <w:lang w:val="zh-CN"/>
      </w:rPr>
      <w:t>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3C0996">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29CE13">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3C0282">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FA1840">
    <w:pPr>
      <w:pStyle w:val="61"/>
    </w:pPr>
    <w:r>
      <w:fldChar w:fldCharType="begin"/>
    </w:r>
    <w:r>
      <w:instrText xml:space="preserve"> STYLEREF  标准文件_文件编号  \* MERGEFORMAT </w:instrText>
    </w:r>
    <w:r>
      <w:fldChar w:fldCharType="separate"/>
    </w:r>
    <w:r>
      <w:t>DB 32/T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1E0D89">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32/T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2694"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VmNDNkOWUxODQ5YzRjYzI2Mjk0ZTQ4NGE4MDc3ZDUifQ=="/>
  </w:docVars>
  <w:rsids>
    <w:rsidRoot w:val="0038063B"/>
    <w:rsid w:val="0000040A"/>
    <w:rsid w:val="000007A4"/>
    <w:rsid w:val="00000A94"/>
    <w:rsid w:val="00001972"/>
    <w:rsid w:val="00001D9A"/>
    <w:rsid w:val="0000660D"/>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24F3"/>
    <w:rsid w:val="000735C9"/>
    <w:rsid w:val="00073C8C"/>
    <w:rsid w:val="00077B64"/>
    <w:rsid w:val="00080261"/>
    <w:rsid w:val="00080A1C"/>
    <w:rsid w:val="00082317"/>
    <w:rsid w:val="00083D2C"/>
    <w:rsid w:val="00086AA1"/>
    <w:rsid w:val="00087A77"/>
    <w:rsid w:val="00090CA6"/>
    <w:rsid w:val="00090DED"/>
    <w:rsid w:val="00092B8A"/>
    <w:rsid w:val="00092FB0"/>
    <w:rsid w:val="000934C5"/>
    <w:rsid w:val="00093D25"/>
    <w:rsid w:val="00093DAB"/>
    <w:rsid w:val="00094D73"/>
    <w:rsid w:val="00096D63"/>
    <w:rsid w:val="000A0B60"/>
    <w:rsid w:val="000A0EB8"/>
    <w:rsid w:val="000A19FC"/>
    <w:rsid w:val="000A296B"/>
    <w:rsid w:val="000A3E34"/>
    <w:rsid w:val="000A7311"/>
    <w:rsid w:val="000B060F"/>
    <w:rsid w:val="000B1592"/>
    <w:rsid w:val="000B1FF2"/>
    <w:rsid w:val="000B3CDA"/>
    <w:rsid w:val="000B6A0B"/>
    <w:rsid w:val="000C0F6C"/>
    <w:rsid w:val="000C11DB"/>
    <w:rsid w:val="000C1492"/>
    <w:rsid w:val="000C2FBD"/>
    <w:rsid w:val="000C3040"/>
    <w:rsid w:val="000C4B41"/>
    <w:rsid w:val="000C51CA"/>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0F7187"/>
    <w:rsid w:val="00104926"/>
    <w:rsid w:val="001134C8"/>
    <w:rsid w:val="00113B1E"/>
    <w:rsid w:val="0011521C"/>
    <w:rsid w:val="00117061"/>
    <w:rsid w:val="0011711C"/>
    <w:rsid w:val="00117F46"/>
    <w:rsid w:val="0012059C"/>
    <w:rsid w:val="00124E4F"/>
    <w:rsid w:val="001260B7"/>
    <w:rsid w:val="001265CB"/>
    <w:rsid w:val="001321C6"/>
    <w:rsid w:val="0013225B"/>
    <w:rsid w:val="001325C4"/>
    <w:rsid w:val="00133010"/>
    <w:rsid w:val="001338EE"/>
    <w:rsid w:val="00133AAE"/>
    <w:rsid w:val="00135323"/>
    <w:rsid w:val="001356C4"/>
    <w:rsid w:val="00136E1D"/>
    <w:rsid w:val="00141114"/>
    <w:rsid w:val="00142969"/>
    <w:rsid w:val="001446C2"/>
    <w:rsid w:val="001457E7"/>
    <w:rsid w:val="00145D27"/>
    <w:rsid w:val="00145D9D"/>
    <w:rsid w:val="00146388"/>
    <w:rsid w:val="001505F9"/>
    <w:rsid w:val="001529E5"/>
    <w:rsid w:val="00153C7E"/>
    <w:rsid w:val="00156B25"/>
    <w:rsid w:val="00156E1A"/>
    <w:rsid w:val="00157894"/>
    <w:rsid w:val="00157B55"/>
    <w:rsid w:val="001642FA"/>
    <w:rsid w:val="001649EB"/>
    <w:rsid w:val="00164BAF"/>
    <w:rsid w:val="00164FA8"/>
    <w:rsid w:val="00165065"/>
    <w:rsid w:val="00165434"/>
    <w:rsid w:val="0016580B"/>
    <w:rsid w:val="00165940"/>
    <w:rsid w:val="00165F49"/>
    <w:rsid w:val="00166B88"/>
    <w:rsid w:val="0016770A"/>
    <w:rsid w:val="00170804"/>
    <w:rsid w:val="001708E9"/>
    <w:rsid w:val="0017340B"/>
    <w:rsid w:val="00173FB1"/>
    <w:rsid w:val="00176BFF"/>
    <w:rsid w:val="00176DFD"/>
    <w:rsid w:val="001852C9"/>
    <w:rsid w:val="00190087"/>
    <w:rsid w:val="001913C4"/>
    <w:rsid w:val="00193343"/>
    <w:rsid w:val="0019348F"/>
    <w:rsid w:val="00193A07"/>
    <w:rsid w:val="00194C95"/>
    <w:rsid w:val="00195C34"/>
    <w:rsid w:val="00195E6C"/>
    <w:rsid w:val="00196EF5"/>
    <w:rsid w:val="001A1A53"/>
    <w:rsid w:val="001A234A"/>
    <w:rsid w:val="001A4CF3"/>
    <w:rsid w:val="001A4F51"/>
    <w:rsid w:val="001A6DF7"/>
    <w:rsid w:val="001B06E8"/>
    <w:rsid w:val="001B71D0"/>
    <w:rsid w:val="001B71EE"/>
    <w:rsid w:val="001C04A8"/>
    <w:rsid w:val="001C2C03"/>
    <w:rsid w:val="001C42F7"/>
    <w:rsid w:val="001C4538"/>
    <w:rsid w:val="001C49E5"/>
    <w:rsid w:val="001C680C"/>
    <w:rsid w:val="001C7FEA"/>
    <w:rsid w:val="001D0499"/>
    <w:rsid w:val="001D0BBE"/>
    <w:rsid w:val="001D0D1F"/>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24DE"/>
    <w:rsid w:val="002142EA"/>
    <w:rsid w:val="002204BB"/>
    <w:rsid w:val="00220573"/>
    <w:rsid w:val="00221B79"/>
    <w:rsid w:val="00221C6B"/>
    <w:rsid w:val="002220EE"/>
    <w:rsid w:val="002253A1"/>
    <w:rsid w:val="00225CF8"/>
    <w:rsid w:val="0022794E"/>
    <w:rsid w:val="00233D64"/>
    <w:rsid w:val="0023482A"/>
    <w:rsid w:val="002359CB"/>
    <w:rsid w:val="00240ACE"/>
    <w:rsid w:val="00243540"/>
    <w:rsid w:val="0024497B"/>
    <w:rsid w:val="0024515B"/>
    <w:rsid w:val="00246021"/>
    <w:rsid w:val="0024666E"/>
    <w:rsid w:val="00246DF7"/>
    <w:rsid w:val="00247F52"/>
    <w:rsid w:val="00250B25"/>
    <w:rsid w:val="00250BBE"/>
    <w:rsid w:val="002515C2"/>
    <w:rsid w:val="0025194F"/>
    <w:rsid w:val="002536EE"/>
    <w:rsid w:val="0026148A"/>
    <w:rsid w:val="00262696"/>
    <w:rsid w:val="00263D25"/>
    <w:rsid w:val="002643C3"/>
    <w:rsid w:val="00264A0C"/>
    <w:rsid w:val="00266EEB"/>
    <w:rsid w:val="00267EF4"/>
    <w:rsid w:val="00270CB8"/>
    <w:rsid w:val="00272B08"/>
    <w:rsid w:val="00281BB8"/>
    <w:rsid w:val="00281E9E"/>
    <w:rsid w:val="00282405"/>
    <w:rsid w:val="002825E3"/>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3B49"/>
    <w:rsid w:val="002A4CEA"/>
    <w:rsid w:val="002A5977"/>
    <w:rsid w:val="002A5A13"/>
    <w:rsid w:val="002A757F"/>
    <w:rsid w:val="002A7F44"/>
    <w:rsid w:val="002B0C40"/>
    <w:rsid w:val="002B1966"/>
    <w:rsid w:val="002B4508"/>
    <w:rsid w:val="002B5779"/>
    <w:rsid w:val="002B6AB5"/>
    <w:rsid w:val="002B7332"/>
    <w:rsid w:val="002B7F51"/>
    <w:rsid w:val="002C09E7"/>
    <w:rsid w:val="002C1E06"/>
    <w:rsid w:val="002C1E1C"/>
    <w:rsid w:val="002C3F07"/>
    <w:rsid w:val="002C5278"/>
    <w:rsid w:val="002C7EBB"/>
    <w:rsid w:val="002D06C1"/>
    <w:rsid w:val="002D2EA3"/>
    <w:rsid w:val="002D42B5"/>
    <w:rsid w:val="002D4F1A"/>
    <w:rsid w:val="002D6EC6"/>
    <w:rsid w:val="002D79AC"/>
    <w:rsid w:val="002E039D"/>
    <w:rsid w:val="002E4D5A"/>
    <w:rsid w:val="002E6326"/>
    <w:rsid w:val="002F2B5E"/>
    <w:rsid w:val="002F30E0"/>
    <w:rsid w:val="002F35E4"/>
    <w:rsid w:val="002F3730"/>
    <w:rsid w:val="002F38E1"/>
    <w:rsid w:val="002F7AF6"/>
    <w:rsid w:val="00300E63"/>
    <w:rsid w:val="00302F5F"/>
    <w:rsid w:val="0030441D"/>
    <w:rsid w:val="00306063"/>
    <w:rsid w:val="00307006"/>
    <w:rsid w:val="00312257"/>
    <w:rsid w:val="00313B85"/>
    <w:rsid w:val="00317988"/>
    <w:rsid w:val="003221B4"/>
    <w:rsid w:val="0032258D"/>
    <w:rsid w:val="00322E62"/>
    <w:rsid w:val="00324D13"/>
    <w:rsid w:val="00324D2A"/>
    <w:rsid w:val="00324EDD"/>
    <w:rsid w:val="00331CDA"/>
    <w:rsid w:val="003331E4"/>
    <w:rsid w:val="00336C64"/>
    <w:rsid w:val="00337162"/>
    <w:rsid w:val="0034194F"/>
    <w:rsid w:val="00344605"/>
    <w:rsid w:val="00344D03"/>
    <w:rsid w:val="003474AA"/>
    <w:rsid w:val="00350011"/>
    <w:rsid w:val="00350283"/>
    <w:rsid w:val="00350D1D"/>
    <w:rsid w:val="003512FE"/>
    <w:rsid w:val="00352C83"/>
    <w:rsid w:val="003615D2"/>
    <w:rsid w:val="0036429C"/>
    <w:rsid w:val="00364A53"/>
    <w:rsid w:val="003654CB"/>
    <w:rsid w:val="00365AA9"/>
    <w:rsid w:val="00365F86"/>
    <w:rsid w:val="00365F87"/>
    <w:rsid w:val="00366E89"/>
    <w:rsid w:val="003705F4"/>
    <w:rsid w:val="00370D58"/>
    <w:rsid w:val="00371316"/>
    <w:rsid w:val="00376713"/>
    <w:rsid w:val="0038063B"/>
    <w:rsid w:val="00381815"/>
    <w:rsid w:val="003819AF"/>
    <w:rsid w:val="003820E9"/>
    <w:rsid w:val="00382DE7"/>
    <w:rsid w:val="00384FFC"/>
    <w:rsid w:val="003872FC"/>
    <w:rsid w:val="00387ADC"/>
    <w:rsid w:val="00390020"/>
    <w:rsid w:val="003903D6"/>
    <w:rsid w:val="00390BA3"/>
    <w:rsid w:val="00390EE6"/>
    <w:rsid w:val="0039118F"/>
    <w:rsid w:val="00392AD7"/>
    <w:rsid w:val="003938D9"/>
    <w:rsid w:val="00394376"/>
    <w:rsid w:val="003943FF"/>
    <w:rsid w:val="00395700"/>
    <w:rsid w:val="003974EB"/>
    <w:rsid w:val="00397CC5"/>
    <w:rsid w:val="003A1582"/>
    <w:rsid w:val="003A4077"/>
    <w:rsid w:val="003A48B2"/>
    <w:rsid w:val="003B09AD"/>
    <w:rsid w:val="003B1F18"/>
    <w:rsid w:val="003B5BF0"/>
    <w:rsid w:val="003B60BF"/>
    <w:rsid w:val="003B6BE3"/>
    <w:rsid w:val="003C010C"/>
    <w:rsid w:val="003C0A6C"/>
    <w:rsid w:val="003C14F8"/>
    <w:rsid w:val="003C5A43"/>
    <w:rsid w:val="003D0519"/>
    <w:rsid w:val="003D0755"/>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1113"/>
    <w:rsid w:val="00412783"/>
    <w:rsid w:val="0041477A"/>
    <w:rsid w:val="004167A3"/>
    <w:rsid w:val="00432DAA"/>
    <w:rsid w:val="00434305"/>
    <w:rsid w:val="00435DF7"/>
    <w:rsid w:val="0044083F"/>
    <w:rsid w:val="00440B95"/>
    <w:rsid w:val="00441AE7"/>
    <w:rsid w:val="00445574"/>
    <w:rsid w:val="004467FB"/>
    <w:rsid w:val="00452D6B"/>
    <w:rsid w:val="00454484"/>
    <w:rsid w:val="0045517B"/>
    <w:rsid w:val="00463B77"/>
    <w:rsid w:val="00463C7B"/>
    <w:rsid w:val="004644A6"/>
    <w:rsid w:val="004659BD"/>
    <w:rsid w:val="00467BFA"/>
    <w:rsid w:val="00470265"/>
    <w:rsid w:val="00470775"/>
    <w:rsid w:val="0047176C"/>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17C9"/>
    <w:rsid w:val="004D2253"/>
    <w:rsid w:val="004D4406"/>
    <w:rsid w:val="004D70EF"/>
    <w:rsid w:val="004D7B4E"/>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2128"/>
    <w:rsid w:val="00533D04"/>
    <w:rsid w:val="00534804"/>
    <w:rsid w:val="00534BDF"/>
    <w:rsid w:val="0053510D"/>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101C"/>
    <w:rsid w:val="00573D9E"/>
    <w:rsid w:val="005801E3"/>
    <w:rsid w:val="00581802"/>
    <w:rsid w:val="00581FC5"/>
    <w:rsid w:val="005836A8"/>
    <w:rsid w:val="0058409C"/>
    <w:rsid w:val="00584262"/>
    <w:rsid w:val="00584E5A"/>
    <w:rsid w:val="00586630"/>
    <w:rsid w:val="00587AB9"/>
    <w:rsid w:val="00587ADD"/>
    <w:rsid w:val="00591E27"/>
    <w:rsid w:val="00596160"/>
    <w:rsid w:val="005966E2"/>
    <w:rsid w:val="00597007"/>
    <w:rsid w:val="00597459"/>
    <w:rsid w:val="005A0966"/>
    <w:rsid w:val="005A11B7"/>
    <w:rsid w:val="005A260B"/>
    <w:rsid w:val="005A4A1B"/>
    <w:rsid w:val="005A5721"/>
    <w:rsid w:val="005A725B"/>
    <w:rsid w:val="005A7830"/>
    <w:rsid w:val="005A7FCE"/>
    <w:rsid w:val="005B0F3F"/>
    <w:rsid w:val="005B4903"/>
    <w:rsid w:val="005B51CE"/>
    <w:rsid w:val="005B5885"/>
    <w:rsid w:val="005B5CD7"/>
    <w:rsid w:val="005B6948"/>
    <w:rsid w:val="005B6CF6"/>
    <w:rsid w:val="005B7422"/>
    <w:rsid w:val="005C29B8"/>
    <w:rsid w:val="005C5F21"/>
    <w:rsid w:val="005C7156"/>
    <w:rsid w:val="005D0C75"/>
    <w:rsid w:val="005D4171"/>
    <w:rsid w:val="005D4561"/>
    <w:rsid w:val="005D6A95"/>
    <w:rsid w:val="005D6B2C"/>
    <w:rsid w:val="005D6D9C"/>
    <w:rsid w:val="005E2335"/>
    <w:rsid w:val="005E34CA"/>
    <w:rsid w:val="005E3C18"/>
    <w:rsid w:val="005E6812"/>
    <w:rsid w:val="005E6D89"/>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456F"/>
    <w:rsid w:val="006252D8"/>
    <w:rsid w:val="006259BC"/>
    <w:rsid w:val="0062636B"/>
    <w:rsid w:val="00632182"/>
    <w:rsid w:val="00632AE0"/>
    <w:rsid w:val="00633C17"/>
    <w:rsid w:val="00634D9E"/>
    <w:rsid w:val="00636E3E"/>
    <w:rsid w:val="006379F7"/>
    <w:rsid w:val="00637E4D"/>
    <w:rsid w:val="00640620"/>
    <w:rsid w:val="00641A1F"/>
    <w:rsid w:val="006429EE"/>
    <w:rsid w:val="00645904"/>
    <w:rsid w:val="00651ACB"/>
    <w:rsid w:val="00651C47"/>
    <w:rsid w:val="00652AB2"/>
    <w:rsid w:val="00653FED"/>
    <w:rsid w:val="00654CD6"/>
    <w:rsid w:val="00654EC0"/>
    <w:rsid w:val="0065525B"/>
    <w:rsid w:val="00655D4F"/>
    <w:rsid w:val="00656D29"/>
    <w:rsid w:val="006640E5"/>
    <w:rsid w:val="006646F1"/>
    <w:rsid w:val="00664929"/>
    <w:rsid w:val="00664F62"/>
    <w:rsid w:val="006655E1"/>
    <w:rsid w:val="00672060"/>
    <w:rsid w:val="00672BFD"/>
    <w:rsid w:val="00672EE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3CC0"/>
    <w:rsid w:val="006C5A62"/>
    <w:rsid w:val="006C5D68"/>
    <w:rsid w:val="006C6976"/>
    <w:rsid w:val="006C6DD0"/>
    <w:rsid w:val="006D04EA"/>
    <w:rsid w:val="006D16C4"/>
    <w:rsid w:val="006D3E96"/>
    <w:rsid w:val="006D4515"/>
    <w:rsid w:val="006D4A4C"/>
    <w:rsid w:val="006D4BB1"/>
    <w:rsid w:val="006D6593"/>
    <w:rsid w:val="006E23EA"/>
    <w:rsid w:val="006E7777"/>
    <w:rsid w:val="006F03A8"/>
    <w:rsid w:val="006F2ACA"/>
    <w:rsid w:val="006F2ADC"/>
    <w:rsid w:val="006F2BFE"/>
    <w:rsid w:val="006F31E9"/>
    <w:rsid w:val="006F4921"/>
    <w:rsid w:val="006F6284"/>
    <w:rsid w:val="007002C5"/>
    <w:rsid w:val="00704387"/>
    <w:rsid w:val="00704ACB"/>
    <w:rsid w:val="00707669"/>
    <w:rsid w:val="00711CBA"/>
    <w:rsid w:val="00711FB5"/>
    <w:rsid w:val="00712A01"/>
    <w:rsid w:val="00714F58"/>
    <w:rsid w:val="0072009F"/>
    <w:rsid w:val="00722FBF"/>
    <w:rsid w:val="00722FC2"/>
    <w:rsid w:val="00724879"/>
    <w:rsid w:val="00724E1B"/>
    <w:rsid w:val="00725949"/>
    <w:rsid w:val="00727FA2"/>
    <w:rsid w:val="007322D9"/>
    <w:rsid w:val="0073230B"/>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3155"/>
    <w:rsid w:val="00755402"/>
    <w:rsid w:val="00756B26"/>
    <w:rsid w:val="00756EDF"/>
    <w:rsid w:val="007600E3"/>
    <w:rsid w:val="00765C43"/>
    <w:rsid w:val="00765EFB"/>
    <w:rsid w:val="007671CA"/>
    <w:rsid w:val="00767C61"/>
    <w:rsid w:val="0077008A"/>
    <w:rsid w:val="00773C1F"/>
    <w:rsid w:val="00774DA4"/>
    <w:rsid w:val="00776599"/>
    <w:rsid w:val="00776BF0"/>
    <w:rsid w:val="0078114B"/>
    <w:rsid w:val="00781DD2"/>
    <w:rsid w:val="00783ECF"/>
    <w:rsid w:val="0078413A"/>
    <w:rsid w:val="007930FB"/>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24F9"/>
    <w:rsid w:val="007F75CE"/>
    <w:rsid w:val="008013A4"/>
    <w:rsid w:val="008027CE"/>
    <w:rsid w:val="00802F42"/>
    <w:rsid w:val="00804383"/>
    <w:rsid w:val="00804BB7"/>
    <w:rsid w:val="00804D41"/>
    <w:rsid w:val="00810257"/>
    <w:rsid w:val="008104F5"/>
    <w:rsid w:val="00811072"/>
    <w:rsid w:val="00811369"/>
    <w:rsid w:val="00812D1D"/>
    <w:rsid w:val="00815419"/>
    <w:rsid w:val="008163C8"/>
    <w:rsid w:val="008164A1"/>
    <w:rsid w:val="00817325"/>
    <w:rsid w:val="008209E6"/>
    <w:rsid w:val="00823303"/>
    <w:rsid w:val="008233B2"/>
    <w:rsid w:val="00823A9F"/>
    <w:rsid w:val="00823C85"/>
    <w:rsid w:val="00825138"/>
    <w:rsid w:val="008269DD"/>
    <w:rsid w:val="00830621"/>
    <w:rsid w:val="00830DEF"/>
    <w:rsid w:val="00832DC7"/>
    <w:rsid w:val="0083348C"/>
    <w:rsid w:val="008370F8"/>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E06"/>
    <w:rsid w:val="00865F85"/>
    <w:rsid w:val="00867C10"/>
    <w:rsid w:val="00870439"/>
    <w:rsid w:val="00870DA1"/>
    <w:rsid w:val="00871B7C"/>
    <w:rsid w:val="00871BA3"/>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6B26"/>
    <w:rsid w:val="008D7B54"/>
    <w:rsid w:val="008E0C9D"/>
    <w:rsid w:val="008E1648"/>
    <w:rsid w:val="008E1B3E"/>
    <w:rsid w:val="008E2319"/>
    <w:rsid w:val="008E4BB6"/>
    <w:rsid w:val="008E5518"/>
    <w:rsid w:val="008E6664"/>
    <w:rsid w:val="008E6A84"/>
    <w:rsid w:val="008F0CDC"/>
    <w:rsid w:val="008F17A3"/>
    <w:rsid w:val="008F1ED3"/>
    <w:rsid w:val="008F23A5"/>
    <w:rsid w:val="008F4C29"/>
    <w:rsid w:val="008F5A8F"/>
    <w:rsid w:val="008F70BD"/>
    <w:rsid w:val="008F788F"/>
    <w:rsid w:val="008F7EA2"/>
    <w:rsid w:val="00902722"/>
    <w:rsid w:val="009027BC"/>
    <w:rsid w:val="009049E7"/>
    <w:rsid w:val="009062E6"/>
    <w:rsid w:val="00911BE5"/>
    <w:rsid w:val="00913CA9"/>
    <w:rsid w:val="009145AE"/>
    <w:rsid w:val="009146CE"/>
    <w:rsid w:val="00914CA7"/>
    <w:rsid w:val="00915C3E"/>
    <w:rsid w:val="009161A8"/>
    <w:rsid w:val="009245F5"/>
    <w:rsid w:val="009249EC"/>
    <w:rsid w:val="009273B3"/>
    <w:rsid w:val="00930012"/>
    <w:rsid w:val="009305B5"/>
    <w:rsid w:val="009379B8"/>
    <w:rsid w:val="00940C0B"/>
    <w:rsid w:val="009429D5"/>
    <w:rsid w:val="00942BF1"/>
    <w:rsid w:val="00942F4B"/>
    <w:rsid w:val="00945180"/>
    <w:rsid w:val="00945428"/>
    <w:rsid w:val="0094607B"/>
    <w:rsid w:val="009522EF"/>
    <w:rsid w:val="00953604"/>
    <w:rsid w:val="0095496B"/>
    <w:rsid w:val="009610DC"/>
    <w:rsid w:val="00961490"/>
    <w:rsid w:val="0096381A"/>
    <w:rsid w:val="00965E04"/>
    <w:rsid w:val="009674AD"/>
    <w:rsid w:val="00970CDC"/>
    <w:rsid w:val="009744D4"/>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3EED"/>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E7FF4"/>
    <w:rsid w:val="009F03B3"/>
    <w:rsid w:val="009F4CBD"/>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0961"/>
    <w:rsid w:val="00A40E78"/>
    <w:rsid w:val="00A41C79"/>
    <w:rsid w:val="00A41CB5"/>
    <w:rsid w:val="00A42CDF"/>
    <w:rsid w:val="00A4452E"/>
    <w:rsid w:val="00A4472C"/>
    <w:rsid w:val="00A44E69"/>
    <w:rsid w:val="00A4661E"/>
    <w:rsid w:val="00A5059C"/>
    <w:rsid w:val="00A55BD6"/>
    <w:rsid w:val="00A55D50"/>
    <w:rsid w:val="00A57142"/>
    <w:rsid w:val="00A62D5C"/>
    <w:rsid w:val="00A648CD"/>
    <w:rsid w:val="00A6537A"/>
    <w:rsid w:val="00A67866"/>
    <w:rsid w:val="00A70B07"/>
    <w:rsid w:val="00A71AE6"/>
    <w:rsid w:val="00A723F8"/>
    <w:rsid w:val="00A77CCB"/>
    <w:rsid w:val="00A83D8D"/>
    <w:rsid w:val="00A8446B"/>
    <w:rsid w:val="00A8473F"/>
    <w:rsid w:val="00A862D6"/>
    <w:rsid w:val="00A8715E"/>
    <w:rsid w:val="00A9295B"/>
    <w:rsid w:val="00A93B09"/>
    <w:rsid w:val="00A94247"/>
    <w:rsid w:val="00A952D7"/>
    <w:rsid w:val="00A963F7"/>
    <w:rsid w:val="00A96AD8"/>
    <w:rsid w:val="00A97E07"/>
    <w:rsid w:val="00AA052C"/>
    <w:rsid w:val="00AA1E45"/>
    <w:rsid w:val="00AA3865"/>
    <w:rsid w:val="00AA4286"/>
    <w:rsid w:val="00AA456B"/>
    <w:rsid w:val="00AA57F5"/>
    <w:rsid w:val="00AA672E"/>
    <w:rsid w:val="00AA6EC9"/>
    <w:rsid w:val="00AB41D5"/>
    <w:rsid w:val="00AB6309"/>
    <w:rsid w:val="00AB6C5F"/>
    <w:rsid w:val="00AB7129"/>
    <w:rsid w:val="00AC27A6"/>
    <w:rsid w:val="00AC2F4B"/>
    <w:rsid w:val="00AC30F7"/>
    <w:rsid w:val="00AC3A5A"/>
    <w:rsid w:val="00AC4D95"/>
    <w:rsid w:val="00AC5DF4"/>
    <w:rsid w:val="00AC71D9"/>
    <w:rsid w:val="00AD0AEF"/>
    <w:rsid w:val="00AD11B7"/>
    <w:rsid w:val="00AD1A94"/>
    <w:rsid w:val="00AD1C05"/>
    <w:rsid w:val="00AD4126"/>
    <w:rsid w:val="00AD421C"/>
    <w:rsid w:val="00AD44FA"/>
    <w:rsid w:val="00AD7D5C"/>
    <w:rsid w:val="00AE070A"/>
    <w:rsid w:val="00AE101C"/>
    <w:rsid w:val="00AE37E5"/>
    <w:rsid w:val="00AE4B4C"/>
    <w:rsid w:val="00AE5EB4"/>
    <w:rsid w:val="00AF0C18"/>
    <w:rsid w:val="00AF47C5"/>
    <w:rsid w:val="00AF50F1"/>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1E95"/>
    <w:rsid w:val="00B62B58"/>
    <w:rsid w:val="00B65149"/>
    <w:rsid w:val="00B66567"/>
    <w:rsid w:val="00B66F52"/>
    <w:rsid w:val="00B66FE5"/>
    <w:rsid w:val="00B72880"/>
    <w:rsid w:val="00B758BF"/>
    <w:rsid w:val="00B770BE"/>
    <w:rsid w:val="00B77EC8"/>
    <w:rsid w:val="00B80201"/>
    <w:rsid w:val="00B827A6"/>
    <w:rsid w:val="00B831CE"/>
    <w:rsid w:val="00B86677"/>
    <w:rsid w:val="00B87131"/>
    <w:rsid w:val="00B939B1"/>
    <w:rsid w:val="00B96D40"/>
    <w:rsid w:val="00B97386"/>
    <w:rsid w:val="00BA263B"/>
    <w:rsid w:val="00BA42B2"/>
    <w:rsid w:val="00BA58D4"/>
    <w:rsid w:val="00BA5B9E"/>
    <w:rsid w:val="00BA794F"/>
    <w:rsid w:val="00BA7C9A"/>
    <w:rsid w:val="00BB0DEA"/>
    <w:rsid w:val="00BB500A"/>
    <w:rsid w:val="00BB511D"/>
    <w:rsid w:val="00BB5F8F"/>
    <w:rsid w:val="00BB657A"/>
    <w:rsid w:val="00BB706F"/>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6F41"/>
    <w:rsid w:val="00BF74A6"/>
    <w:rsid w:val="00C01210"/>
    <w:rsid w:val="00C013AD"/>
    <w:rsid w:val="00C04904"/>
    <w:rsid w:val="00C056B3"/>
    <w:rsid w:val="00C103E5"/>
    <w:rsid w:val="00C11627"/>
    <w:rsid w:val="00C13319"/>
    <w:rsid w:val="00C13EE9"/>
    <w:rsid w:val="00C15DEA"/>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56A07"/>
    <w:rsid w:val="00C601BC"/>
    <w:rsid w:val="00C6329F"/>
    <w:rsid w:val="00C63340"/>
    <w:rsid w:val="00C643F9"/>
    <w:rsid w:val="00C64E95"/>
    <w:rsid w:val="00C71372"/>
    <w:rsid w:val="00C72410"/>
    <w:rsid w:val="00C7287F"/>
    <w:rsid w:val="00C74868"/>
    <w:rsid w:val="00C80CB8"/>
    <w:rsid w:val="00C819F8"/>
    <w:rsid w:val="00C8248C"/>
    <w:rsid w:val="00C84E33"/>
    <w:rsid w:val="00C86D6F"/>
    <w:rsid w:val="00C905FC"/>
    <w:rsid w:val="00C92D03"/>
    <w:rsid w:val="00C9319C"/>
    <w:rsid w:val="00C9435D"/>
    <w:rsid w:val="00C94DF2"/>
    <w:rsid w:val="00C951D0"/>
    <w:rsid w:val="00C96741"/>
    <w:rsid w:val="00CA2D1B"/>
    <w:rsid w:val="00CA375D"/>
    <w:rsid w:val="00CA662A"/>
    <w:rsid w:val="00CA7AFD"/>
    <w:rsid w:val="00CA7C3C"/>
    <w:rsid w:val="00CB0189"/>
    <w:rsid w:val="00CB0BA2"/>
    <w:rsid w:val="00CB1A42"/>
    <w:rsid w:val="00CB1B0C"/>
    <w:rsid w:val="00CB2C0B"/>
    <w:rsid w:val="00CB399D"/>
    <w:rsid w:val="00CB517D"/>
    <w:rsid w:val="00CC038D"/>
    <w:rsid w:val="00CC08DB"/>
    <w:rsid w:val="00CC39FF"/>
    <w:rsid w:val="00CC3C2F"/>
    <w:rsid w:val="00CC4AC8"/>
    <w:rsid w:val="00CC5233"/>
    <w:rsid w:val="00CC5A79"/>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0AE9"/>
    <w:rsid w:val="00D022E8"/>
    <w:rsid w:val="00D0321C"/>
    <w:rsid w:val="00D035EC"/>
    <w:rsid w:val="00D06AB1"/>
    <w:rsid w:val="00D072ED"/>
    <w:rsid w:val="00D07A16"/>
    <w:rsid w:val="00D1067E"/>
    <w:rsid w:val="00D10F50"/>
    <w:rsid w:val="00D11272"/>
    <w:rsid w:val="00D126F5"/>
    <w:rsid w:val="00D1489E"/>
    <w:rsid w:val="00D20737"/>
    <w:rsid w:val="00D21E81"/>
    <w:rsid w:val="00D223DE"/>
    <w:rsid w:val="00D25D0B"/>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47ACA"/>
    <w:rsid w:val="00D51BF3"/>
    <w:rsid w:val="00D64CBF"/>
    <w:rsid w:val="00D66846"/>
    <w:rsid w:val="00D675FB"/>
    <w:rsid w:val="00D715D8"/>
    <w:rsid w:val="00D71F25"/>
    <w:rsid w:val="00D72A9C"/>
    <w:rsid w:val="00D77031"/>
    <w:rsid w:val="00D80AF0"/>
    <w:rsid w:val="00D84941"/>
    <w:rsid w:val="00D84FA1"/>
    <w:rsid w:val="00D851F0"/>
    <w:rsid w:val="00D86DB7"/>
    <w:rsid w:val="00D92386"/>
    <w:rsid w:val="00D926D0"/>
    <w:rsid w:val="00D93030"/>
    <w:rsid w:val="00D950E1"/>
    <w:rsid w:val="00D952A6"/>
    <w:rsid w:val="00D97F99"/>
    <w:rsid w:val="00DA1E08"/>
    <w:rsid w:val="00DA24F8"/>
    <w:rsid w:val="00DA28E8"/>
    <w:rsid w:val="00DA38D3"/>
    <w:rsid w:val="00DA3932"/>
    <w:rsid w:val="00DA3AFC"/>
    <w:rsid w:val="00DA4DE4"/>
    <w:rsid w:val="00DA64F8"/>
    <w:rsid w:val="00DA6C15"/>
    <w:rsid w:val="00DB0258"/>
    <w:rsid w:val="00DB38EE"/>
    <w:rsid w:val="00DB498B"/>
    <w:rsid w:val="00DB66CA"/>
    <w:rsid w:val="00DB6BCA"/>
    <w:rsid w:val="00DB73F7"/>
    <w:rsid w:val="00DC0321"/>
    <w:rsid w:val="00DC3067"/>
    <w:rsid w:val="00DC370B"/>
    <w:rsid w:val="00DC5B90"/>
    <w:rsid w:val="00DC6211"/>
    <w:rsid w:val="00DD00FF"/>
    <w:rsid w:val="00DD0619"/>
    <w:rsid w:val="00DD07FB"/>
    <w:rsid w:val="00DD25C6"/>
    <w:rsid w:val="00DD2761"/>
    <w:rsid w:val="00DD4FE5"/>
    <w:rsid w:val="00DD54B0"/>
    <w:rsid w:val="00DD57EE"/>
    <w:rsid w:val="00DD6BCC"/>
    <w:rsid w:val="00DE0A4B"/>
    <w:rsid w:val="00DE2410"/>
    <w:rsid w:val="00DE2939"/>
    <w:rsid w:val="00DE6E81"/>
    <w:rsid w:val="00DE703F"/>
    <w:rsid w:val="00DE7595"/>
    <w:rsid w:val="00DF1961"/>
    <w:rsid w:val="00DF39F5"/>
    <w:rsid w:val="00DF44DE"/>
    <w:rsid w:val="00DF5F11"/>
    <w:rsid w:val="00E01138"/>
    <w:rsid w:val="00E02DFB"/>
    <w:rsid w:val="00E030F9"/>
    <w:rsid w:val="00E0311A"/>
    <w:rsid w:val="00E03138"/>
    <w:rsid w:val="00E06404"/>
    <w:rsid w:val="00E06F12"/>
    <w:rsid w:val="00E109B0"/>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364"/>
    <w:rsid w:val="00E44A83"/>
    <w:rsid w:val="00E502C1"/>
    <w:rsid w:val="00E502DD"/>
    <w:rsid w:val="00E50D3A"/>
    <w:rsid w:val="00E51387"/>
    <w:rsid w:val="00E51E68"/>
    <w:rsid w:val="00E52EFD"/>
    <w:rsid w:val="00E5408A"/>
    <w:rsid w:val="00E56800"/>
    <w:rsid w:val="00E57913"/>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D73F6"/>
    <w:rsid w:val="00EE0350"/>
    <w:rsid w:val="00EE0719"/>
    <w:rsid w:val="00EE0E80"/>
    <w:rsid w:val="00EE54A6"/>
    <w:rsid w:val="00EE613F"/>
    <w:rsid w:val="00EE7295"/>
    <w:rsid w:val="00EE7869"/>
    <w:rsid w:val="00EF054A"/>
    <w:rsid w:val="00EF3235"/>
    <w:rsid w:val="00EF3CC6"/>
    <w:rsid w:val="00EF7E72"/>
    <w:rsid w:val="00F06D37"/>
    <w:rsid w:val="00F07B9D"/>
    <w:rsid w:val="00F11586"/>
    <w:rsid w:val="00F1183B"/>
    <w:rsid w:val="00F11C9F"/>
    <w:rsid w:val="00F12263"/>
    <w:rsid w:val="00F1409D"/>
    <w:rsid w:val="00F14214"/>
    <w:rsid w:val="00F157A9"/>
    <w:rsid w:val="00F1671C"/>
    <w:rsid w:val="00F25BB6"/>
    <w:rsid w:val="00F26B7E"/>
    <w:rsid w:val="00F27A3B"/>
    <w:rsid w:val="00F33817"/>
    <w:rsid w:val="00F420D5"/>
    <w:rsid w:val="00F451EA"/>
    <w:rsid w:val="00F45447"/>
    <w:rsid w:val="00F456C6"/>
    <w:rsid w:val="00F4577B"/>
    <w:rsid w:val="00F46496"/>
    <w:rsid w:val="00F474D0"/>
    <w:rsid w:val="00F50179"/>
    <w:rsid w:val="00F515EE"/>
    <w:rsid w:val="00F56105"/>
    <w:rsid w:val="00F56511"/>
    <w:rsid w:val="00F60CA4"/>
    <w:rsid w:val="00F6194E"/>
    <w:rsid w:val="00F623AC"/>
    <w:rsid w:val="00F6412A"/>
    <w:rsid w:val="00F65893"/>
    <w:rsid w:val="00F66A4A"/>
    <w:rsid w:val="00F71E22"/>
    <w:rsid w:val="00F72142"/>
    <w:rsid w:val="00F72AE7"/>
    <w:rsid w:val="00F81141"/>
    <w:rsid w:val="00F833BA"/>
    <w:rsid w:val="00F83E62"/>
    <w:rsid w:val="00F84FD0"/>
    <w:rsid w:val="00F859A8"/>
    <w:rsid w:val="00F86D87"/>
    <w:rsid w:val="00F9108B"/>
    <w:rsid w:val="00F91349"/>
    <w:rsid w:val="00F93539"/>
    <w:rsid w:val="00F93A8A"/>
    <w:rsid w:val="00F95248"/>
    <w:rsid w:val="00F956A9"/>
    <w:rsid w:val="00F95746"/>
    <w:rsid w:val="00F963ED"/>
    <w:rsid w:val="00F966CF"/>
    <w:rsid w:val="00F96CAE"/>
    <w:rsid w:val="00F97C99"/>
    <w:rsid w:val="00FA4DAC"/>
    <w:rsid w:val="00FA662D"/>
    <w:rsid w:val="00FA73B1"/>
    <w:rsid w:val="00FB0CB9"/>
    <w:rsid w:val="00FB21BF"/>
    <w:rsid w:val="00FB231D"/>
    <w:rsid w:val="00FB4517"/>
    <w:rsid w:val="00FB45F1"/>
    <w:rsid w:val="00FB4A72"/>
    <w:rsid w:val="00FB54E8"/>
    <w:rsid w:val="00FB7054"/>
    <w:rsid w:val="00FC17B7"/>
    <w:rsid w:val="00FC2CB7"/>
    <w:rsid w:val="00FC4090"/>
    <w:rsid w:val="00FC55B4"/>
    <w:rsid w:val="00FC59DE"/>
    <w:rsid w:val="00FC790A"/>
    <w:rsid w:val="00FD00E6"/>
    <w:rsid w:val="00FD09A1"/>
    <w:rsid w:val="00FD2A7C"/>
    <w:rsid w:val="00FD3E7E"/>
    <w:rsid w:val="00FD48A7"/>
    <w:rsid w:val="00FD59EB"/>
    <w:rsid w:val="00FD7299"/>
    <w:rsid w:val="00FE1FBE"/>
    <w:rsid w:val="00FE3901"/>
    <w:rsid w:val="00FE39D3"/>
    <w:rsid w:val="00FE4BCE"/>
    <w:rsid w:val="00FE54AE"/>
    <w:rsid w:val="00FE576A"/>
    <w:rsid w:val="00FE7E79"/>
    <w:rsid w:val="00FF26ED"/>
    <w:rsid w:val="00FF3E7D"/>
    <w:rsid w:val="00FF5B99"/>
    <w:rsid w:val="00FF730C"/>
    <w:rsid w:val="00FF73F4"/>
    <w:rsid w:val="00FF7CE4"/>
    <w:rsid w:val="00FF7E39"/>
    <w:rsid w:val="02B37655"/>
    <w:rsid w:val="034B2470"/>
    <w:rsid w:val="03A74512"/>
    <w:rsid w:val="062005AC"/>
    <w:rsid w:val="0639166E"/>
    <w:rsid w:val="0A5371A2"/>
    <w:rsid w:val="0F84472A"/>
    <w:rsid w:val="12137217"/>
    <w:rsid w:val="148B12E6"/>
    <w:rsid w:val="18047FE5"/>
    <w:rsid w:val="1C026332"/>
    <w:rsid w:val="1E7B23CC"/>
    <w:rsid w:val="217575A6"/>
    <w:rsid w:val="21865A8A"/>
    <w:rsid w:val="22394A78"/>
    <w:rsid w:val="22C47F17"/>
    <w:rsid w:val="243454F7"/>
    <w:rsid w:val="243867F6"/>
    <w:rsid w:val="273B05BA"/>
    <w:rsid w:val="290753F7"/>
    <w:rsid w:val="294066EC"/>
    <w:rsid w:val="2AFA0B7E"/>
    <w:rsid w:val="2D84508C"/>
    <w:rsid w:val="2DD85145"/>
    <w:rsid w:val="31554A68"/>
    <w:rsid w:val="37E64902"/>
    <w:rsid w:val="3C3976F6"/>
    <w:rsid w:val="3CCB2319"/>
    <w:rsid w:val="3DAB63D2"/>
    <w:rsid w:val="449021FF"/>
    <w:rsid w:val="48531B40"/>
    <w:rsid w:val="48552138"/>
    <w:rsid w:val="53A25CF2"/>
    <w:rsid w:val="55843698"/>
    <w:rsid w:val="58F5279F"/>
    <w:rsid w:val="5A5429EC"/>
    <w:rsid w:val="5A9348BA"/>
    <w:rsid w:val="65722C58"/>
    <w:rsid w:val="67AE09C3"/>
    <w:rsid w:val="6E305286"/>
    <w:rsid w:val="6E930639"/>
    <w:rsid w:val="6F467459"/>
    <w:rsid w:val="78D855C6"/>
    <w:rsid w:val="79751067"/>
    <w:rsid w:val="79C67B14"/>
    <w:rsid w:val="7BD42F30"/>
    <w:rsid w:val="7CF25F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37"/>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autoRedefine/>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autoRedefine/>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autoRedefine/>
    <w:qFormat/>
    <w:uiPriority w:val="0"/>
    <w:pPr>
      <w:ind w:firstLine="420"/>
    </w:pPr>
  </w:style>
  <w:style w:type="paragraph" w:styleId="13">
    <w:name w:val="Body Text"/>
    <w:basedOn w:val="1"/>
    <w:link w:val="86"/>
    <w:autoRedefine/>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autoRedefine/>
    <w:semiHidden/>
    <w:unhideWhenUsed/>
    <w:qFormat/>
    <w:uiPriority w:val="99"/>
    <w:rPr>
      <w:sz w:val="18"/>
      <w:szCs w:val="18"/>
    </w:rPr>
  </w:style>
  <w:style w:type="paragraph" w:styleId="17">
    <w:name w:val="footer"/>
    <w:basedOn w:val="1"/>
    <w:link w:val="44"/>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autoRedefine/>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autoRedefine/>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autoRedefine/>
    <w:qFormat/>
    <w:uiPriority w:val="0"/>
    <w:pPr>
      <w:spacing w:before="240" w:after="60"/>
      <w:jc w:val="center"/>
      <w:outlineLvl w:val="0"/>
    </w:pPr>
    <w:rPr>
      <w:rFonts w:ascii="Arial" w:hAnsi="Arial" w:cs="Arial"/>
      <w:b/>
      <w:bCs/>
      <w:sz w:val="32"/>
      <w:szCs w:val="32"/>
    </w:rPr>
  </w:style>
  <w:style w:type="table" w:styleId="27">
    <w:name w:val="Table Grid"/>
    <w:basedOn w:val="26"/>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autoRedefine/>
    <w:qFormat/>
    <w:uiPriority w:val="22"/>
    <w:rPr>
      <w:b/>
      <w:bCs/>
    </w:rPr>
  </w:style>
  <w:style w:type="character" w:styleId="30">
    <w:name w:val="page number"/>
    <w:autoRedefine/>
    <w:qFormat/>
    <w:uiPriority w:val="0"/>
    <w:rPr>
      <w:rFonts w:ascii="宋体" w:hAnsi="Times New Roman" w:eastAsia="宋体"/>
      <w:sz w:val="18"/>
    </w:rPr>
  </w:style>
  <w:style w:type="character" w:styleId="31">
    <w:name w:val="Emphasis"/>
    <w:autoRedefine/>
    <w:qFormat/>
    <w:uiPriority w:val="20"/>
    <w:rPr>
      <w:i/>
      <w:iCs/>
    </w:rPr>
  </w:style>
  <w:style w:type="character" w:styleId="32">
    <w:name w:val="Hyperlink"/>
    <w:autoRedefine/>
    <w:qFormat/>
    <w:uiPriority w:val="99"/>
    <w:rPr>
      <w:rFonts w:ascii="宋体" w:hAnsi="Times New Roman" w:eastAsia="宋体"/>
      <w:color w:val="auto"/>
      <w:spacing w:val="0"/>
      <w:w w:val="100"/>
      <w:position w:val="0"/>
      <w:sz w:val="21"/>
      <w:u w:val="none"/>
      <w:vertAlign w:val="baseline"/>
    </w:rPr>
  </w:style>
  <w:style w:type="character" w:styleId="33">
    <w:name w:val="footnote reference"/>
    <w:autoRedefine/>
    <w:semiHidden/>
    <w:qFormat/>
    <w:uiPriority w:val="0"/>
    <w:rPr>
      <w:rFonts w:ascii="宋体" w:hAnsi="宋体" w:eastAsia="宋体" w:cs="Times New Roman"/>
      <w:spacing w:val="0"/>
      <w:sz w:val="18"/>
      <w:vertAlign w:val="superscript"/>
    </w:rPr>
  </w:style>
  <w:style w:type="character" w:customStyle="1" w:styleId="34">
    <w:name w:val="标题 1 Char"/>
    <w:link w:val="2"/>
    <w:autoRedefine/>
    <w:qFormat/>
    <w:uiPriority w:val="0"/>
    <w:rPr>
      <w:rFonts w:ascii="Times New Roman" w:hAnsi="Times New Roman" w:eastAsia="宋体" w:cs="Times New Roman"/>
      <w:b/>
      <w:bCs/>
      <w:kern w:val="44"/>
      <w:sz w:val="44"/>
      <w:szCs w:val="44"/>
    </w:rPr>
  </w:style>
  <w:style w:type="character" w:customStyle="1" w:styleId="35">
    <w:name w:val="标题 2 Char"/>
    <w:link w:val="3"/>
    <w:autoRedefine/>
    <w:qFormat/>
    <w:uiPriority w:val="0"/>
    <w:rPr>
      <w:rFonts w:ascii="Arial" w:hAnsi="Arial" w:eastAsia="黑体" w:cs="Times New Roman"/>
      <w:b/>
      <w:bCs/>
      <w:sz w:val="32"/>
      <w:szCs w:val="32"/>
    </w:rPr>
  </w:style>
  <w:style w:type="character" w:customStyle="1" w:styleId="36">
    <w:name w:val="标题 3 Char"/>
    <w:link w:val="4"/>
    <w:autoRedefine/>
    <w:qFormat/>
    <w:uiPriority w:val="0"/>
    <w:rPr>
      <w:rFonts w:ascii="Times New Roman" w:hAnsi="Times New Roman" w:eastAsia="宋体" w:cs="Times New Roman"/>
      <w:b/>
      <w:bCs/>
      <w:sz w:val="32"/>
      <w:szCs w:val="32"/>
    </w:rPr>
  </w:style>
  <w:style w:type="character" w:customStyle="1" w:styleId="37">
    <w:name w:val="标题 4 Char"/>
    <w:link w:val="5"/>
    <w:autoRedefine/>
    <w:qFormat/>
    <w:uiPriority w:val="0"/>
    <w:rPr>
      <w:rFonts w:ascii="Arial" w:hAnsi="Arial" w:eastAsia="黑体" w:cs="Times New Roman"/>
      <w:b/>
      <w:bCs/>
      <w:sz w:val="28"/>
      <w:szCs w:val="28"/>
    </w:rPr>
  </w:style>
  <w:style w:type="character" w:customStyle="1" w:styleId="38">
    <w:name w:val="标题 5 Char"/>
    <w:link w:val="6"/>
    <w:autoRedefine/>
    <w:qFormat/>
    <w:uiPriority w:val="0"/>
    <w:rPr>
      <w:rFonts w:ascii="Times New Roman" w:hAnsi="Times New Roman" w:eastAsia="宋体" w:cs="Times New Roman"/>
      <w:b/>
      <w:bCs/>
      <w:sz w:val="28"/>
      <w:szCs w:val="28"/>
    </w:rPr>
  </w:style>
  <w:style w:type="character" w:customStyle="1" w:styleId="39">
    <w:name w:val="标题 6 Char"/>
    <w:link w:val="7"/>
    <w:autoRedefine/>
    <w:qFormat/>
    <w:uiPriority w:val="0"/>
    <w:rPr>
      <w:rFonts w:ascii="Arial" w:hAnsi="Arial" w:eastAsia="黑体" w:cs="Times New Roman"/>
      <w:b/>
      <w:bCs/>
      <w:sz w:val="24"/>
      <w:szCs w:val="24"/>
    </w:rPr>
  </w:style>
  <w:style w:type="character" w:customStyle="1" w:styleId="40">
    <w:name w:val="标题 7 Char"/>
    <w:link w:val="8"/>
    <w:autoRedefine/>
    <w:qFormat/>
    <w:uiPriority w:val="0"/>
    <w:rPr>
      <w:rFonts w:ascii="Times New Roman" w:hAnsi="Times New Roman" w:eastAsia="宋体" w:cs="Times New Roman"/>
      <w:b/>
      <w:bCs/>
      <w:sz w:val="24"/>
      <w:szCs w:val="24"/>
    </w:rPr>
  </w:style>
  <w:style w:type="character" w:customStyle="1" w:styleId="41">
    <w:name w:val="标题 8 Char"/>
    <w:link w:val="9"/>
    <w:autoRedefine/>
    <w:qFormat/>
    <w:uiPriority w:val="0"/>
    <w:rPr>
      <w:rFonts w:ascii="Arial" w:hAnsi="Arial" w:eastAsia="黑体" w:cs="Times New Roman"/>
      <w:sz w:val="24"/>
      <w:szCs w:val="24"/>
    </w:rPr>
  </w:style>
  <w:style w:type="character" w:customStyle="1" w:styleId="42">
    <w:name w:val="标题 9 Char"/>
    <w:link w:val="10"/>
    <w:autoRedefine/>
    <w:qFormat/>
    <w:uiPriority w:val="0"/>
    <w:rPr>
      <w:rFonts w:ascii="Arial" w:hAnsi="Arial" w:eastAsia="黑体" w:cs="Times New Roman"/>
      <w:szCs w:val="21"/>
    </w:rPr>
  </w:style>
  <w:style w:type="character" w:customStyle="1" w:styleId="43">
    <w:name w:val="页眉 Char"/>
    <w:link w:val="18"/>
    <w:autoRedefine/>
    <w:qFormat/>
    <w:uiPriority w:val="99"/>
    <w:rPr>
      <w:rFonts w:ascii="Times New Roman" w:hAnsi="Times New Roman" w:eastAsia="宋体" w:cs="Times New Roman"/>
      <w:sz w:val="18"/>
      <w:szCs w:val="18"/>
    </w:rPr>
  </w:style>
  <w:style w:type="character" w:customStyle="1" w:styleId="44">
    <w:name w:val="页脚 Char"/>
    <w:link w:val="17"/>
    <w:autoRedefine/>
    <w:qFormat/>
    <w:uiPriority w:val="99"/>
    <w:rPr>
      <w:rFonts w:ascii="宋体" w:hAnsi="Times New Roman" w:eastAsia="宋体" w:cs="Times New Roman"/>
      <w:sz w:val="18"/>
      <w:szCs w:val="18"/>
    </w:rPr>
  </w:style>
  <w:style w:type="character" w:customStyle="1" w:styleId="45">
    <w:name w:val="批注框文本 Char"/>
    <w:link w:val="16"/>
    <w:autoRedefine/>
    <w:semiHidden/>
    <w:qFormat/>
    <w:uiPriority w:val="99"/>
    <w:rPr>
      <w:sz w:val="18"/>
      <w:szCs w:val="18"/>
    </w:rPr>
  </w:style>
  <w:style w:type="paragraph" w:styleId="46">
    <w:name w:val="Quote"/>
    <w:basedOn w:val="1"/>
    <w:next w:val="1"/>
    <w:link w:val="47"/>
    <w:autoRedefine/>
    <w:qFormat/>
    <w:uiPriority w:val="29"/>
    <w:rPr>
      <w:i/>
      <w:iCs/>
      <w:color w:val="000000"/>
    </w:rPr>
  </w:style>
  <w:style w:type="character" w:customStyle="1" w:styleId="47">
    <w:name w:val="引用 Char"/>
    <w:link w:val="46"/>
    <w:autoRedefine/>
    <w:qFormat/>
    <w:uiPriority w:val="29"/>
    <w:rPr>
      <w:i/>
      <w:iCs/>
      <w:color w:val="000000"/>
    </w:rPr>
  </w:style>
  <w:style w:type="character" w:customStyle="1" w:styleId="48">
    <w:name w:val="标题 Char"/>
    <w:link w:val="25"/>
    <w:autoRedefine/>
    <w:qFormat/>
    <w:uiPriority w:val="0"/>
    <w:rPr>
      <w:rFonts w:ascii="Arial" w:hAnsi="Arial" w:eastAsia="宋体" w:cs="Arial"/>
      <w:b/>
      <w:bCs/>
      <w:sz w:val="32"/>
      <w:szCs w:val="32"/>
    </w:rPr>
  </w:style>
  <w:style w:type="paragraph" w:customStyle="1" w:styleId="49">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autoRedefine/>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autoRedefine/>
    <w:qFormat/>
    <w:uiPriority w:val="0"/>
    <w:pPr>
      <w:spacing w:line="0" w:lineRule="atLeast"/>
    </w:pPr>
    <w:rPr>
      <w:rFonts w:ascii="黑体" w:hAnsi="宋体" w:eastAsia="黑体"/>
    </w:rPr>
  </w:style>
  <w:style w:type="paragraph" w:customStyle="1" w:styleId="55">
    <w:name w:val="标准文件_标准正文"/>
    <w:basedOn w:val="1"/>
    <w:next w:val="56"/>
    <w:autoRedefine/>
    <w:qFormat/>
    <w:uiPriority w:val="0"/>
    <w:pPr>
      <w:snapToGrid w:val="0"/>
      <w:jc w:val="center"/>
    </w:pPr>
    <w:rPr>
      <w:kern w:val="0"/>
    </w:rPr>
  </w:style>
  <w:style w:type="paragraph" w:customStyle="1" w:styleId="56">
    <w:name w:val="标准文件_段"/>
    <w:link w:val="184"/>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autoRedefine/>
    <w:qFormat/>
    <w:uiPriority w:val="0"/>
    <w:pPr>
      <w:adjustRightInd/>
      <w:snapToGrid/>
    </w:pPr>
    <w:rPr>
      <w:rFonts w:ascii="宋体" w:hAnsi="宋体"/>
      <w:kern w:val="2"/>
    </w:rPr>
  </w:style>
  <w:style w:type="paragraph" w:customStyle="1" w:styleId="58">
    <w:name w:val="标准文件_标准部门"/>
    <w:basedOn w:val="1"/>
    <w:autoRedefine/>
    <w:qFormat/>
    <w:uiPriority w:val="0"/>
    <w:pPr>
      <w:jc w:val="center"/>
    </w:pPr>
    <w:rPr>
      <w:rFonts w:ascii="黑体" w:eastAsia="黑体"/>
      <w:kern w:val="0"/>
      <w:sz w:val="44"/>
    </w:rPr>
  </w:style>
  <w:style w:type="paragraph" w:customStyle="1" w:styleId="59">
    <w:name w:val="标准文件_标准代替"/>
    <w:basedOn w:val="1"/>
    <w:next w:val="1"/>
    <w:autoRedefine/>
    <w:qFormat/>
    <w:uiPriority w:val="0"/>
    <w:pPr>
      <w:spacing w:line="310" w:lineRule="exact"/>
      <w:jc w:val="right"/>
    </w:pPr>
    <w:rPr>
      <w:rFonts w:ascii="宋体" w:hAnsi="宋体"/>
      <w:kern w:val="0"/>
    </w:rPr>
  </w:style>
  <w:style w:type="paragraph" w:customStyle="1" w:styleId="60">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autoRedefine/>
    <w:qFormat/>
    <w:uiPriority w:val="0"/>
    <w:pPr>
      <w:jc w:val="left"/>
    </w:pPr>
  </w:style>
  <w:style w:type="paragraph" w:customStyle="1" w:styleId="63">
    <w:name w:val="标准文件_参考文献标题"/>
    <w:basedOn w:val="1"/>
    <w:next w:val="1"/>
    <w:autoRedefine/>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4">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autoRedefine/>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autoRedefine/>
    <w:qFormat/>
    <w:uiPriority w:val="0"/>
    <w:rPr>
      <w:rFonts w:ascii="黑体" w:eastAsia="黑体"/>
      <w:spacing w:val="0"/>
      <w:w w:val="100"/>
      <w:position w:val="3"/>
      <w:sz w:val="28"/>
    </w:rPr>
  </w:style>
  <w:style w:type="paragraph" w:customStyle="1" w:styleId="67">
    <w:name w:val="标准文件_方框数字列项"/>
    <w:basedOn w:val="56"/>
    <w:autoRedefine/>
    <w:qFormat/>
    <w:uiPriority w:val="0"/>
    <w:pPr>
      <w:numPr>
        <w:ilvl w:val="0"/>
        <w:numId w:val="3"/>
      </w:numPr>
      <w:ind w:firstLine="0" w:firstLineChars="0"/>
    </w:pPr>
  </w:style>
  <w:style w:type="paragraph" w:customStyle="1" w:styleId="68">
    <w:name w:val="标准文件_封面标准编号"/>
    <w:basedOn w:val="1"/>
    <w:next w:val="59"/>
    <w:autoRedefine/>
    <w:qFormat/>
    <w:uiPriority w:val="0"/>
    <w:pPr>
      <w:spacing w:line="310" w:lineRule="exact"/>
      <w:jc w:val="right"/>
    </w:pPr>
    <w:rPr>
      <w:rFonts w:ascii="黑体" w:eastAsia="黑体"/>
      <w:kern w:val="0"/>
      <w:sz w:val="28"/>
    </w:rPr>
  </w:style>
  <w:style w:type="paragraph" w:customStyle="1" w:styleId="69">
    <w:name w:val="标准文件_封面标准分类号"/>
    <w:basedOn w:val="1"/>
    <w:autoRedefine/>
    <w:qFormat/>
    <w:uiPriority w:val="0"/>
    <w:rPr>
      <w:rFonts w:ascii="黑体" w:eastAsia="黑体"/>
      <w:b/>
      <w:kern w:val="0"/>
      <w:sz w:val="28"/>
    </w:rPr>
  </w:style>
  <w:style w:type="paragraph" w:customStyle="1" w:styleId="70">
    <w:name w:val="标准文件_封面标准名称"/>
    <w:basedOn w:val="1"/>
    <w:autoRedefine/>
    <w:qFormat/>
    <w:uiPriority w:val="0"/>
    <w:pPr>
      <w:spacing w:line="240" w:lineRule="auto"/>
      <w:jc w:val="center"/>
    </w:pPr>
    <w:rPr>
      <w:rFonts w:ascii="黑体" w:eastAsia="黑体"/>
      <w:kern w:val="0"/>
      <w:sz w:val="52"/>
    </w:rPr>
  </w:style>
  <w:style w:type="paragraph" w:customStyle="1" w:styleId="71">
    <w:name w:val="标准文件_封面标准英文名称"/>
    <w:basedOn w:val="1"/>
    <w:autoRedefine/>
    <w:qFormat/>
    <w:uiPriority w:val="0"/>
    <w:pPr>
      <w:spacing w:line="240" w:lineRule="auto"/>
      <w:jc w:val="center"/>
    </w:pPr>
    <w:rPr>
      <w:rFonts w:ascii="黑体" w:eastAsia="黑体"/>
      <w:b/>
      <w:sz w:val="28"/>
    </w:rPr>
  </w:style>
  <w:style w:type="paragraph" w:customStyle="1" w:styleId="72">
    <w:name w:val="标准文件_封面发布日期"/>
    <w:basedOn w:val="1"/>
    <w:autoRedefine/>
    <w:qFormat/>
    <w:uiPriority w:val="0"/>
    <w:pPr>
      <w:spacing w:line="310" w:lineRule="exact"/>
    </w:pPr>
    <w:rPr>
      <w:rFonts w:ascii="黑体" w:eastAsia="黑体"/>
      <w:kern w:val="0"/>
      <w:sz w:val="28"/>
    </w:rPr>
  </w:style>
  <w:style w:type="paragraph" w:customStyle="1" w:styleId="73">
    <w:name w:val="标准文件_封面密级"/>
    <w:basedOn w:val="1"/>
    <w:autoRedefine/>
    <w:qFormat/>
    <w:uiPriority w:val="0"/>
    <w:rPr>
      <w:rFonts w:eastAsia="黑体"/>
      <w:sz w:val="32"/>
    </w:rPr>
  </w:style>
  <w:style w:type="paragraph" w:customStyle="1" w:styleId="74">
    <w:name w:val="标准文件_封面实施日期"/>
    <w:basedOn w:val="1"/>
    <w:autoRedefine/>
    <w:qFormat/>
    <w:uiPriority w:val="0"/>
    <w:pPr>
      <w:spacing w:line="310" w:lineRule="exact"/>
      <w:jc w:val="right"/>
    </w:pPr>
    <w:rPr>
      <w:rFonts w:ascii="黑体" w:eastAsia="黑体"/>
      <w:sz w:val="28"/>
    </w:rPr>
  </w:style>
  <w:style w:type="paragraph" w:customStyle="1" w:styleId="75">
    <w:name w:val="标准文件_封面抬头"/>
    <w:basedOn w:val="56"/>
    <w:autoRedefine/>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autoRedefine/>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autoRedefine/>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autoRedefine/>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autoRedefine/>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autoRedefine/>
    <w:qFormat/>
    <w:uiPriority w:val="0"/>
    <w:pPr>
      <w:tabs>
        <w:tab w:val="center" w:pos="4678"/>
        <w:tab w:val="right" w:leader="middleDot" w:pos="9356"/>
      </w:tabs>
      <w:spacing w:line="240" w:lineRule="auto"/>
      <w:ind w:right="-51"/>
    </w:pPr>
    <w:rPr>
      <w:rFonts w:ascii="宋体" w:hAnsi="宋体"/>
    </w:rPr>
  </w:style>
  <w:style w:type="paragraph" w:customStyle="1" w:styleId="81">
    <w:name w:val="标准文件_附录三级条标题"/>
    <w:next w:val="56"/>
    <w:autoRedefine/>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autoRedefine/>
    <w:qFormat/>
    <w:uiPriority w:val="0"/>
    <w:pPr>
      <w:numPr>
        <w:ilvl w:val="1"/>
        <w:numId w:val="6"/>
      </w:numPr>
      <w:adjustRightInd w:val="0"/>
      <w:snapToGrid w:val="0"/>
      <w:spacing w:before="50" w:beforeLines="50" w:after="50" w:afterLines="50"/>
      <w:ind w:left="0" w:firstLine="420"/>
      <w:jc w:val="center"/>
    </w:pPr>
    <w:rPr>
      <w:rFonts w:ascii="黑体" w:hAnsi="Times New Roman" w:eastAsia="黑体" w:cs="Times New Roman"/>
      <w:sz w:val="21"/>
      <w:lang w:val="en-US" w:eastAsia="zh-CN" w:bidi="ar-SA"/>
    </w:rPr>
  </w:style>
  <w:style w:type="paragraph" w:customStyle="1" w:styleId="84">
    <w:name w:val="标准文件_附录五级条标题"/>
    <w:next w:val="56"/>
    <w:autoRedefine/>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autoRedefine/>
    <w:qFormat/>
    <w:uiPriority w:val="0"/>
    <w:rPr>
      <w:rFonts w:ascii="Times New Roman" w:hAnsi="Times New Roman" w:eastAsia="宋体" w:cs="Times New Roman"/>
      <w:szCs w:val="20"/>
    </w:rPr>
  </w:style>
  <w:style w:type="paragraph" w:customStyle="1" w:styleId="87">
    <w:name w:val="标准文件_附录章标题"/>
    <w:next w:val="56"/>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autoRedefine/>
    <w:qFormat/>
    <w:uiPriority w:val="0"/>
    <w:pPr>
      <w:ind w:left="488" w:leftChars="200" w:hanging="289" w:hangingChars="290"/>
    </w:pPr>
  </w:style>
  <w:style w:type="paragraph" w:customStyle="1" w:styleId="89">
    <w:name w:val="标准文件_前言、引言标题"/>
    <w:next w:val="1"/>
    <w:autoRedefine/>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autoRedefine/>
    <w:qFormat/>
    <w:uiPriority w:val="0"/>
    <w:pPr>
      <w:spacing w:line="460" w:lineRule="exact"/>
    </w:pPr>
  </w:style>
  <w:style w:type="paragraph" w:customStyle="1" w:styleId="91">
    <w:name w:val="标准文件_目录标题"/>
    <w:basedOn w:val="1"/>
    <w:autoRedefine/>
    <w:qFormat/>
    <w:uiPriority w:val="0"/>
    <w:pPr>
      <w:spacing w:after="150" w:afterLines="150" w:line="240" w:lineRule="auto"/>
      <w:jc w:val="center"/>
    </w:pPr>
    <w:rPr>
      <w:rFonts w:ascii="黑体" w:eastAsia="黑体"/>
      <w:sz w:val="32"/>
    </w:rPr>
  </w:style>
  <w:style w:type="paragraph" w:customStyle="1" w:styleId="92">
    <w:name w:val="标准文件_破折号列项"/>
    <w:autoRedefine/>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autoRedefine/>
    <w:qFormat/>
    <w:uiPriority w:val="0"/>
    <w:pPr>
      <w:numPr>
        <w:numId w:val="10"/>
      </w:numPr>
      <w:ind w:left="0" w:firstLine="200"/>
    </w:pPr>
  </w:style>
  <w:style w:type="paragraph" w:customStyle="1" w:styleId="94">
    <w:name w:val="标准文件_三级条标题"/>
    <w:basedOn w:val="65"/>
    <w:next w:val="56"/>
    <w:autoRedefine/>
    <w:qFormat/>
    <w:uiPriority w:val="0"/>
    <w:pPr>
      <w:widowControl/>
      <w:numPr>
        <w:ilvl w:val="4"/>
      </w:numPr>
      <w:outlineLvl w:val="3"/>
    </w:pPr>
  </w:style>
  <w:style w:type="character" w:customStyle="1" w:styleId="95">
    <w:name w:val="不明显参考1"/>
    <w:autoRedefine/>
    <w:qFormat/>
    <w:uiPriority w:val="31"/>
    <w:rPr>
      <w:smallCaps/>
      <w:color w:val="C0504D"/>
      <w:u w:val="single"/>
    </w:rPr>
  </w:style>
  <w:style w:type="paragraph" w:customStyle="1" w:styleId="96">
    <w:name w:val="标准文件_示例后续"/>
    <w:basedOn w:val="1"/>
    <w:autoRedefine/>
    <w:qFormat/>
    <w:uiPriority w:val="0"/>
    <w:pPr>
      <w:adjustRightInd/>
      <w:spacing w:line="240" w:lineRule="auto"/>
      <w:ind w:firstLine="200" w:firstLineChars="200"/>
    </w:pPr>
    <w:rPr>
      <w:sz w:val="18"/>
      <w:szCs w:val="24"/>
    </w:rPr>
  </w:style>
  <w:style w:type="paragraph" w:customStyle="1" w:styleId="97">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autoRedefine/>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autoRedefine/>
    <w:semiHidden/>
    <w:qFormat/>
    <w:uiPriority w:val="0"/>
    <w:rPr>
      <w:rFonts w:ascii="宋体" w:hAnsi="Times New Roman" w:eastAsia="宋体" w:cs="Times New Roman"/>
      <w:sz w:val="18"/>
      <w:szCs w:val="18"/>
    </w:rPr>
  </w:style>
  <w:style w:type="paragraph" w:customStyle="1" w:styleId="100">
    <w:name w:val="标准文件_条文脚注"/>
    <w:basedOn w:val="21"/>
    <w:autoRedefine/>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autoRedefine/>
    <w:qFormat/>
    <w:uiPriority w:val="0"/>
    <w:pPr>
      <w:numPr>
        <w:ilvl w:val="0"/>
        <w:numId w:val="12"/>
      </w:numPr>
      <w:spacing w:line="240" w:lineRule="auto"/>
      <w:jc w:val="left"/>
    </w:pPr>
    <w:rPr>
      <w:rFonts w:ascii="宋体" w:hAnsi="宋体"/>
      <w:sz w:val="18"/>
    </w:rPr>
  </w:style>
  <w:style w:type="character" w:customStyle="1" w:styleId="102">
    <w:name w:val="标准文件_图表脚注内容"/>
    <w:autoRedefine/>
    <w:qFormat/>
    <w:uiPriority w:val="0"/>
    <w:rPr>
      <w:rFonts w:ascii="宋体" w:hAnsi="宋体" w:eastAsia="宋体" w:cs="Times New Roman"/>
      <w:spacing w:val="0"/>
      <w:sz w:val="18"/>
      <w:vertAlign w:val="superscript"/>
    </w:rPr>
  </w:style>
  <w:style w:type="paragraph" w:customStyle="1" w:styleId="103">
    <w:name w:val="标准文件_五级条标题"/>
    <w:next w:val="56"/>
    <w:autoRedefine/>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autoRedefine/>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autoRedefine/>
    <w:qFormat/>
    <w:uiPriority w:val="0"/>
    <w:pPr>
      <w:numPr>
        <w:ilvl w:val="2"/>
      </w:numPr>
      <w:spacing w:before="50" w:beforeLines="50" w:after="50" w:afterLines="50"/>
      <w:outlineLvl w:val="1"/>
    </w:pPr>
  </w:style>
  <w:style w:type="paragraph" w:customStyle="1" w:styleId="106">
    <w:name w:val="标准文件_一致程度"/>
    <w:basedOn w:val="1"/>
    <w:autoRedefine/>
    <w:qFormat/>
    <w:uiPriority w:val="0"/>
    <w:pPr>
      <w:spacing w:line="440" w:lineRule="exact"/>
      <w:jc w:val="center"/>
    </w:pPr>
    <w:rPr>
      <w:sz w:val="28"/>
    </w:rPr>
  </w:style>
  <w:style w:type="paragraph" w:customStyle="1" w:styleId="107">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autoRedefine/>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autoRedefine/>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autoRedefine/>
    <w:qFormat/>
    <w:uiPriority w:val="0"/>
    <w:pPr>
      <w:numPr>
        <w:ilvl w:val="0"/>
        <w:numId w:val="16"/>
      </w:numPr>
      <w:tabs>
        <w:tab w:val="left" w:pos="0"/>
      </w:tabs>
      <w:spacing w:before="156" w:beforeLines="50" w:after="156"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autoRedefine/>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autoRedefine/>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autoRedefine/>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autoRedefine/>
    <w:qFormat/>
    <w:uiPriority w:val="0"/>
    <w:pPr>
      <w:numPr>
        <w:ilvl w:val="3"/>
        <w:numId w:val="20"/>
      </w:numPr>
      <w:adjustRightInd/>
      <w:spacing w:line="240" w:lineRule="auto"/>
    </w:pPr>
    <w:rPr>
      <w:rFonts w:ascii="宋体" w:hAnsi="宋体"/>
      <w:szCs w:val="24"/>
    </w:rPr>
  </w:style>
  <w:style w:type="paragraph" w:customStyle="1" w:styleId="119">
    <w:name w:val="发布部门"/>
    <w:next w:val="56"/>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autoRedefine/>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autoRedefine/>
    <w:qFormat/>
    <w:uiPriority w:val="0"/>
    <w:pPr>
      <w:outlineLvl w:val="4"/>
    </w:pPr>
  </w:style>
  <w:style w:type="paragraph" w:customStyle="1" w:styleId="130">
    <w:name w:val="附录四级无标题条"/>
    <w:basedOn w:val="129"/>
    <w:next w:val="56"/>
    <w:autoRedefine/>
    <w:qFormat/>
    <w:uiPriority w:val="0"/>
    <w:pPr>
      <w:outlineLvl w:val="5"/>
    </w:pPr>
  </w:style>
  <w:style w:type="paragraph" w:customStyle="1" w:styleId="131">
    <w:name w:val="附录图"/>
    <w:next w:val="56"/>
    <w:autoRedefine/>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autoRedefine/>
    <w:qFormat/>
    <w:uiPriority w:val="0"/>
    <w:pPr>
      <w:outlineLvl w:val="6"/>
    </w:pPr>
  </w:style>
  <w:style w:type="paragraph" w:customStyle="1" w:styleId="134">
    <w:name w:val="附录性质"/>
    <w:basedOn w:val="1"/>
    <w:autoRedefine/>
    <w:qFormat/>
    <w:uiPriority w:val="0"/>
    <w:pPr>
      <w:widowControl/>
      <w:adjustRightInd/>
      <w:jc w:val="center"/>
    </w:pPr>
    <w:rPr>
      <w:rFonts w:ascii="黑体" w:eastAsia="黑体"/>
    </w:rPr>
  </w:style>
  <w:style w:type="paragraph" w:customStyle="1" w:styleId="135">
    <w:name w:val="附录一级无标题条"/>
    <w:basedOn w:val="87"/>
    <w:next w:val="56"/>
    <w:autoRedefine/>
    <w:qFormat/>
    <w:uiPriority w:val="0"/>
    <w:pPr>
      <w:autoSpaceDN w:val="0"/>
      <w:outlineLvl w:val="2"/>
    </w:pPr>
    <w:rPr>
      <w:rFonts w:ascii="宋体" w:hAnsi="宋体" w:eastAsia="宋体"/>
    </w:rPr>
  </w:style>
  <w:style w:type="character" w:customStyle="1" w:styleId="136">
    <w:name w:val="个人答复风格"/>
    <w:autoRedefine/>
    <w:qFormat/>
    <w:uiPriority w:val="0"/>
    <w:rPr>
      <w:rFonts w:ascii="Arial" w:hAnsi="Arial" w:eastAsia="宋体" w:cs="Arial"/>
      <w:color w:val="auto"/>
      <w:spacing w:val="0"/>
      <w:sz w:val="20"/>
    </w:rPr>
  </w:style>
  <w:style w:type="character" w:customStyle="1" w:styleId="137">
    <w:name w:val="个人撰写风格"/>
    <w:autoRedefine/>
    <w:qFormat/>
    <w:uiPriority w:val="0"/>
    <w:rPr>
      <w:rFonts w:ascii="Arial" w:hAnsi="Arial" w:eastAsia="宋体" w:cs="Arial"/>
      <w:color w:val="auto"/>
      <w:spacing w:val="0"/>
      <w:sz w:val="20"/>
    </w:rPr>
  </w:style>
  <w:style w:type="paragraph" w:customStyle="1" w:styleId="138">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autoRedefine/>
    <w:qFormat/>
    <w:uiPriority w:val="0"/>
    <w:pPr>
      <w:tabs>
        <w:tab w:val="left" w:pos="840"/>
      </w:tabs>
    </w:pPr>
  </w:style>
  <w:style w:type="paragraph" w:customStyle="1" w:styleId="141">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autoRedefine/>
    <w:qFormat/>
    <w:uiPriority w:val="0"/>
    <w:pPr>
      <w:framePr w:wrap="around"/>
      <w:spacing w:line="0" w:lineRule="atLeast"/>
    </w:pPr>
    <w:rPr>
      <w:rFonts w:ascii="黑体" w:eastAsia="黑体"/>
      <w:b w:val="0"/>
    </w:rPr>
  </w:style>
  <w:style w:type="paragraph" w:customStyle="1" w:styleId="152">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autoRedefine/>
    <w:qFormat/>
    <w:uiPriority w:val="0"/>
    <w:pPr>
      <w:numPr>
        <w:ilvl w:val="4"/>
        <w:numId w:val="20"/>
      </w:numPr>
      <w:adjustRightInd/>
      <w:spacing w:line="240" w:lineRule="auto"/>
    </w:pPr>
    <w:rPr>
      <w:rFonts w:ascii="宋体" w:hAnsi="宋体"/>
      <w:szCs w:val="24"/>
    </w:rPr>
  </w:style>
  <w:style w:type="paragraph" w:customStyle="1" w:styleId="154">
    <w:name w:val="实施日期"/>
    <w:basedOn w:val="120"/>
    <w:autoRedefine/>
    <w:qFormat/>
    <w:uiPriority w:val="0"/>
    <w:pPr>
      <w:framePr w:hSpace="0" w:wrap="around" w:xAlign="right"/>
      <w:jc w:val="right"/>
    </w:pPr>
  </w:style>
  <w:style w:type="paragraph" w:customStyle="1" w:styleId="155">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56">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autoRedefine/>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autoRedefine/>
    <w:qFormat/>
    <w:uiPriority w:val="0"/>
    <w:pPr>
      <w:numPr>
        <w:ilvl w:val="6"/>
        <w:numId w:val="20"/>
      </w:numPr>
      <w:adjustRightInd/>
    </w:pPr>
    <w:rPr>
      <w:szCs w:val="24"/>
    </w:rPr>
  </w:style>
  <w:style w:type="paragraph" w:customStyle="1" w:styleId="159">
    <w:name w:val="一级无标题条"/>
    <w:basedOn w:val="1"/>
    <w:autoRedefine/>
    <w:qFormat/>
    <w:uiPriority w:val="0"/>
    <w:pPr>
      <w:numPr>
        <w:ilvl w:val="2"/>
        <w:numId w:val="20"/>
      </w:numPr>
      <w:adjustRightInd/>
      <w:spacing w:before="10" w:after="10" w:line="240" w:lineRule="auto"/>
    </w:pPr>
    <w:rPr>
      <w:rFonts w:ascii="宋体" w:hAnsi="宋体"/>
      <w:szCs w:val="24"/>
    </w:rPr>
  </w:style>
  <w:style w:type="paragraph" w:customStyle="1" w:styleId="160">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autoRedefine/>
    <w:qFormat/>
    <w:uiPriority w:val="0"/>
    <w:pPr>
      <w:ind w:left="1406" w:leftChars="0" w:hanging="499" w:firstLineChars="0"/>
    </w:pPr>
  </w:style>
  <w:style w:type="paragraph" w:customStyle="1" w:styleId="162">
    <w:name w:val="标准文件_一级无标题"/>
    <w:basedOn w:val="105"/>
    <w:autoRedefine/>
    <w:qFormat/>
    <w:uiPriority w:val="0"/>
    <w:pPr>
      <w:spacing w:before="0" w:beforeLines="0" w:after="0" w:afterLines="0"/>
      <w:outlineLvl w:val="9"/>
    </w:pPr>
    <w:rPr>
      <w:rFonts w:ascii="宋体" w:eastAsia="宋体"/>
    </w:rPr>
  </w:style>
  <w:style w:type="paragraph" w:customStyle="1" w:styleId="163">
    <w:name w:val="标准文件_五级无标题"/>
    <w:basedOn w:val="103"/>
    <w:autoRedefine/>
    <w:qFormat/>
    <w:uiPriority w:val="0"/>
    <w:pPr>
      <w:spacing w:before="0" w:beforeLines="0" w:after="0" w:afterLines="0"/>
      <w:outlineLvl w:val="9"/>
    </w:pPr>
    <w:rPr>
      <w:rFonts w:ascii="宋体" w:eastAsia="宋体"/>
    </w:rPr>
  </w:style>
  <w:style w:type="paragraph" w:customStyle="1" w:styleId="164">
    <w:name w:val="标准文件_三级无标题"/>
    <w:basedOn w:val="94"/>
    <w:autoRedefine/>
    <w:qFormat/>
    <w:uiPriority w:val="0"/>
    <w:pPr>
      <w:spacing w:before="0" w:beforeLines="0" w:after="0" w:afterLines="0"/>
      <w:outlineLvl w:val="9"/>
    </w:pPr>
    <w:rPr>
      <w:rFonts w:ascii="宋体" w:eastAsia="宋体"/>
    </w:rPr>
  </w:style>
  <w:style w:type="paragraph" w:customStyle="1" w:styleId="165">
    <w:name w:val="标准文件_二级无标题"/>
    <w:basedOn w:val="65"/>
    <w:autoRedefine/>
    <w:qFormat/>
    <w:uiPriority w:val="0"/>
    <w:pPr>
      <w:spacing w:before="0" w:beforeLines="0" w:after="0" w:afterLines="0"/>
      <w:outlineLvl w:val="9"/>
    </w:pPr>
    <w:rPr>
      <w:rFonts w:ascii="宋体" w:eastAsia="宋体"/>
    </w:rPr>
  </w:style>
  <w:style w:type="paragraph" w:customStyle="1" w:styleId="166">
    <w:name w:val="标准_四级无标题"/>
    <w:basedOn w:val="98"/>
    <w:next w:val="56"/>
    <w:autoRedefine/>
    <w:qFormat/>
    <w:uiPriority w:val="0"/>
    <w:rPr>
      <w:rFonts w:eastAsia="宋体"/>
    </w:rPr>
  </w:style>
  <w:style w:type="paragraph" w:customStyle="1" w:styleId="167">
    <w:name w:val="标准文件_四级无标题"/>
    <w:basedOn w:val="98"/>
    <w:autoRedefine/>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autoRedefine/>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autoRedefine/>
    <w:qFormat/>
    <w:uiPriority w:val="0"/>
    <w:pPr>
      <w:numPr>
        <w:ilvl w:val="0"/>
        <w:numId w:val="24"/>
      </w:numPr>
      <w:ind w:firstLine="0" w:firstLineChars="0"/>
    </w:pPr>
    <w:rPr>
      <w:rFonts w:cs="Arial"/>
      <w:szCs w:val="28"/>
    </w:rPr>
  </w:style>
  <w:style w:type="paragraph" w:customStyle="1" w:styleId="170">
    <w:name w:val="标准文件_附录标题"/>
    <w:basedOn w:val="76"/>
    <w:autoRedefine/>
    <w:qFormat/>
    <w:uiPriority w:val="0"/>
    <w:pPr>
      <w:numPr>
        <w:numId w:val="0"/>
      </w:numPr>
      <w:spacing w:after="280"/>
      <w:outlineLvl w:val="9"/>
    </w:pPr>
  </w:style>
  <w:style w:type="paragraph" w:customStyle="1" w:styleId="171">
    <w:name w:val="标准文件_二级项"/>
    <w:autoRedefine/>
    <w:qFormat/>
    <w:uiPriority w:val="0"/>
    <w:rPr>
      <w:rFonts w:ascii="宋体" w:hAnsi="Times New Roman" w:eastAsia="宋体" w:cs="Times New Roman"/>
      <w:sz w:val="21"/>
      <w:lang w:val="en-US" w:eastAsia="zh-CN" w:bidi="ar-SA"/>
    </w:rPr>
  </w:style>
  <w:style w:type="paragraph" w:customStyle="1" w:styleId="172">
    <w:name w:val="标准文件_三级项"/>
    <w:basedOn w:val="1"/>
    <w:autoRedefine/>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autoRedefine/>
    <w:qFormat/>
    <w:uiPriority w:val="0"/>
    <w:pPr>
      <w:numPr>
        <w:ilvl w:val="0"/>
        <w:numId w:val="25"/>
      </w:numPr>
      <w:adjustRightInd/>
      <w:spacing w:line="240" w:lineRule="auto"/>
      <w:ind w:left="783"/>
    </w:pPr>
    <w:rPr>
      <w:rFonts w:ascii="宋体" w:hAnsi="Times New Roman"/>
      <w:sz w:val="18"/>
      <w:szCs w:val="18"/>
    </w:rPr>
  </w:style>
  <w:style w:type="paragraph" w:customStyle="1" w:styleId="174">
    <w:name w:val="标准文件_字母编号列项（一级）"/>
    <w:autoRedefine/>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autoRedefine/>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autoRedefine/>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autoRedefine/>
    <w:qFormat/>
    <w:uiPriority w:val="0"/>
    <w:pPr>
      <w:ind w:firstLine="0" w:firstLineChars="0"/>
      <w:jc w:val="center"/>
    </w:pPr>
    <w:rPr>
      <w:sz w:val="18"/>
    </w:rPr>
  </w:style>
  <w:style w:type="paragraph" w:customStyle="1" w:styleId="179">
    <w:name w:val="标准文件_注："/>
    <w:next w:val="56"/>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autoRedefine/>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autoRedefine/>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autoRedefine/>
    <w:qFormat/>
    <w:uiPriority w:val="0"/>
    <w:pPr>
      <w:ind w:firstLine="420"/>
    </w:pPr>
    <w:rPr>
      <w:sz w:val="18"/>
    </w:rPr>
  </w:style>
  <w:style w:type="paragraph" w:customStyle="1" w:styleId="183">
    <w:name w:val="标准文件_示例×："/>
    <w:basedOn w:val="1"/>
    <w:next w:val="182"/>
    <w:autoRedefine/>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autoRedefine/>
    <w:qFormat/>
    <w:uiPriority w:val="0"/>
    <w:rPr>
      <w:rFonts w:ascii="宋体" w:hAnsi="Times New Roman"/>
      <w:sz w:val="21"/>
    </w:rPr>
  </w:style>
  <w:style w:type="paragraph" w:customStyle="1" w:styleId="185">
    <w:name w:val="标准文件_表格续"/>
    <w:basedOn w:val="56"/>
    <w:next w:val="56"/>
    <w:autoRedefine/>
    <w:qFormat/>
    <w:uiPriority w:val="0"/>
    <w:pPr>
      <w:jc w:val="center"/>
    </w:pPr>
    <w:rPr>
      <w:rFonts w:ascii="黑体" w:hAnsi="黑体" w:eastAsia="黑体"/>
    </w:rPr>
  </w:style>
  <w:style w:type="character" w:styleId="186">
    <w:name w:val="Placeholder Text"/>
    <w:basedOn w:val="28"/>
    <w:autoRedefine/>
    <w:semiHidden/>
    <w:qFormat/>
    <w:uiPriority w:val="99"/>
    <w:rPr>
      <w:color w:val="808080"/>
    </w:rPr>
  </w:style>
  <w:style w:type="paragraph" w:customStyle="1" w:styleId="187">
    <w:name w:val="标准文件_二级项2"/>
    <w:basedOn w:val="56"/>
    <w:autoRedefine/>
    <w:qFormat/>
    <w:uiPriority w:val="0"/>
    <w:pPr>
      <w:numPr>
        <w:ilvl w:val="1"/>
        <w:numId w:val="21"/>
      </w:numPr>
      <w:ind w:left="1271" w:hanging="420" w:firstLineChars="0"/>
    </w:pPr>
  </w:style>
  <w:style w:type="paragraph" w:customStyle="1" w:styleId="188">
    <w:name w:val="标准文件_三级项2"/>
    <w:basedOn w:val="56"/>
    <w:autoRedefine/>
    <w:qFormat/>
    <w:uiPriority w:val="0"/>
    <w:pPr>
      <w:numPr>
        <w:ilvl w:val="0"/>
        <w:numId w:val="30"/>
      </w:numPr>
      <w:spacing w:line="300" w:lineRule="exact"/>
      <w:ind w:left="1276" w:hanging="425" w:firstLineChars="0"/>
    </w:pPr>
    <w:rPr>
      <w:rFonts w:ascii="Times New Roman"/>
    </w:rPr>
  </w:style>
  <w:style w:type="paragraph" w:customStyle="1" w:styleId="189">
    <w:name w:val="标准文件_一级项2"/>
    <w:basedOn w:val="56"/>
    <w:autoRedefine/>
    <w:qFormat/>
    <w:uiPriority w:val="0"/>
    <w:pPr>
      <w:numPr>
        <w:ilvl w:val="0"/>
        <w:numId w:val="31"/>
      </w:numPr>
      <w:spacing w:line="300" w:lineRule="exact"/>
      <w:ind w:left="1271" w:hanging="420" w:firstLineChars="0"/>
    </w:pPr>
    <w:rPr>
      <w:rFonts w:ascii="Times New Roman"/>
    </w:rPr>
  </w:style>
  <w:style w:type="paragraph" w:customStyle="1" w:styleId="190">
    <w:name w:val="标准文件_提示"/>
    <w:basedOn w:val="56"/>
    <w:next w:val="56"/>
    <w:autoRedefine/>
    <w:qFormat/>
    <w:uiPriority w:val="0"/>
    <w:pPr>
      <w:ind w:firstLine="420"/>
    </w:pPr>
    <w:rPr>
      <w:rFonts w:ascii="黑体" w:eastAsia="黑体"/>
    </w:rPr>
  </w:style>
  <w:style w:type="character" w:customStyle="1" w:styleId="191">
    <w:name w:val="标准文件_来源"/>
    <w:basedOn w:val="28"/>
    <w:autoRedefine/>
    <w:qFormat/>
    <w:uiPriority w:val="1"/>
    <w:rPr>
      <w:rFonts w:eastAsia="宋体"/>
      <w:sz w:val="21"/>
    </w:rPr>
  </w:style>
  <w:style w:type="paragraph" w:customStyle="1" w:styleId="192">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autoRedefine/>
    <w:qFormat/>
    <w:uiPriority w:val="0"/>
    <w:pPr>
      <w:framePr w:w="3997" w:h="471" w:hRule="exact" w:hSpace="0" w:vSpace="181" w:wrap="around" w:vAnchor="page" w:hAnchor="page" w:x="1419" w:y="14097"/>
    </w:pPr>
  </w:style>
  <w:style w:type="paragraph" w:customStyle="1" w:styleId="194">
    <w:name w:val="其他实施日期"/>
    <w:basedOn w:val="154"/>
    <w:autoRedefine/>
    <w:qFormat/>
    <w:uiPriority w:val="0"/>
    <w:pPr>
      <w:framePr w:w="3997" w:h="471" w:hRule="exact" w:vSpace="181" w:wrap="around" w:vAnchor="page" w:hAnchor="page" w:x="7089" w:y="14097"/>
    </w:pPr>
  </w:style>
  <w:style w:type="paragraph" w:customStyle="1" w:styleId="195">
    <w:name w:val="标准文件_文件编号"/>
    <w:basedOn w:val="56"/>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autoRedefine/>
    <w:qFormat/>
    <w:uiPriority w:val="0"/>
    <w:pPr>
      <w:spacing w:before="57"/>
    </w:pPr>
    <w:rPr>
      <w:sz w:val="21"/>
    </w:rPr>
  </w:style>
  <w:style w:type="paragraph" w:customStyle="1" w:styleId="197">
    <w:name w:val="标准文件_文件名称"/>
    <w:basedOn w:val="56"/>
    <w:next w:val="56"/>
    <w:autoRedefine/>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autoRedefine/>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autoRedefine/>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autoRedefine/>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autoRedefine/>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autoRedefine/>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autoRedefine/>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autoRedefine/>
    <w:qFormat/>
    <w:uiPriority w:val="0"/>
    <w:pPr>
      <w:ind w:left="811" w:firstLine="0" w:firstLineChars="0"/>
    </w:pPr>
    <w:rPr>
      <w:sz w:val="18"/>
    </w:rPr>
  </w:style>
  <w:style w:type="paragraph" w:customStyle="1" w:styleId="206">
    <w:name w:val="标准文件_注X后"/>
    <w:basedOn w:val="56"/>
    <w:autoRedefine/>
    <w:qFormat/>
    <w:uiPriority w:val="0"/>
    <w:pPr>
      <w:ind w:left="811" w:firstLine="0" w:firstLineChars="0"/>
    </w:pPr>
    <w:rPr>
      <w:sz w:val="18"/>
    </w:rPr>
  </w:style>
  <w:style w:type="paragraph" w:customStyle="1" w:styleId="207">
    <w:name w:val="标准文件_示例后"/>
    <w:basedOn w:val="56"/>
    <w:autoRedefine/>
    <w:qFormat/>
    <w:uiPriority w:val="0"/>
    <w:pPr>
      <w:ind w:left="964" w:firstLine="0" w:firstLineChars="0"/>
    </w:pPr>
    <w:rPr>
      <w:sz w:val="18"/>
    </w:rPr>
  </w:style>
  <w:style w:type="paragraph" w:customStyle="1" w:styleId="208">
    <w:name w:val="标准文件_示例X后"/>
    <w:basedOn w:val="56"/>
    <w:link w:val="209"/>
    <w:autoRedefine/>
    <w:qFormat/>
    <w:uiPriority w:val="0"/>
    <w:pPr>
      <w:ind w:left="1049" w:firstLine="0" w:firstLineChars="0"/>
    </w:pPr>
    <w:rPr>
      <w:sz w:val="18"/>
    </w:rPr>
  </w:style>
  <w:style w:type="character" w:customStyle="1" w:styleId="209">
    <w:name w:val="标准文件_示例X后 字符"/>
    <w:basedOn w:val="184"/>
    <w:link w:val="208"/>
    <w:autoRedefine/>
    <w:qFormat/>
    <w:uiPriority w:val="0"/>
    <w:rPr>
      <w:rFonts w:ascii="宋体" w:hAnsi="Times New Roman"/>
      <w:sz w:val="18"/>
    </w:rPr>
  </w:style>
  <w:style w:type="paragraph" w:customStyle="1" w:styleId="210">
    <w:name w:val="标准文件_索引项"/>
    <w:basedOn w:val="56"/>
    <w:next w:val="56"/>
    <w:autoRedefine/>
    <w:qFormat/>
    <w:uiPriority w:val="0"/>
    <w:pPr>
      <w:tabs>
        <w:tab w:val="right" w:leader="dot" w:pos="9356"/>
      </w:tabs>
      <w:ind w:left="210" w:hanging="210" w:firstLineChars="0"/>
      <w:jc w:val="left"/>
    </w:pPr>
  </w:style>
  <w:style w:type="paragraph" w:customStyle="1" w:styleId="211">
    <w:name w:val="标准文件_附录一级无标题"/>
    <w:basedOn w:val="78"/>
    <w:autoRedefine/>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autoRedefine/>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autoRedefine/>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autoRedefine/>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autoRedefine/>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autoRedefine/>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autoRedefine/>
    <w:qFormat/>
    <w:uiPriority w:val="0"/>
    <w:pPr>
      <w:spacing w:before="0" w:beforeLines="0" w:after="0" w:afterLines="0" w:line="276" w:lineRule="auto"/>
    </w:pPr>
    <w:rPr>
      <w:rFonts w:ascii="宋体" w:eastAsia="宋体"/>
    </w:rPr>
  </w:style>
  <w:style w:type="paragraph" w:customStyle="1" w:styleId="218">
    <w:name w:val="标准文件_引言三级无标题"/>
    <w:basedOn w:val="202"/>
    <w:next w:val="56"/>
    <w:autoRedefine/>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autoRedefine/>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autoRedefine/>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autoRedefine/>
    <w:qFormat/>
    <w:uiPriority w:val="0"/>
    <w:rPr>
      <w:rFonts w:hAnsi="黑体"/>
    </w:rPr>
  </w:style>
  <w:style w:type="paragraph" w:customStyle="1" w:styleId="222">
    <w:name w:val="标准文件_脚注内容"/>
    <w:basedOn w:val="56"/>
    <w:autoRedefine/>
    <w:qFormat/>
    <w:uiPriority w:val="0"/>
    <w:pPr>
      <w:ind w:left="400" w:leftChars="200" w:hanging="200" w:hangingChars="200"/>
    </w:pPr>
    <w:rPr>
      <w:sz w:val="15"/>
    </w:rPr>
  </w:style>
  <w:style w:type="paragraph" w:customStyle="1" w:styleId="223">
    <w:name w:val="标准文件_术语条一"/>
    <w:basedOn w:val="162"/>
    <w:next w:val="56"/>
    <w:autoRedefine/>
    <w:qFormat/>
    <w:uiPriority w:val="0"/>
  </w:style>
  <w:style w:type="paragraph" w:customStyle="1" w:styleId="224">
    <w:name w:val="标准文件_术语条二"/>
    <w:basedOn w:val="165"/>
    <w:next w:val="56"/>
    <w:autoRedefine/>
    <w:qFormat/>
    <w:uiPriority w:val="0"/>
  </w:style>
  <w:style w:type="paragraph" w:customStyle="1" w:styleId="225">
    <w:name w:val="标准文件_术语条三"/>
    <w:basedOn w:val="164"/>
    <w:next w:val="56"/>
    <w:autoRedefine/>
    <w:qFormat/>
    <w:uiPriority w:val="0"/>
  </w:style>
  <w:style w:type="paragraph" w:customStyle="1" w:styleId="226">
    <w:name w:val="标准文件_术语条四"/>
    <w:basedOn w:val="167"/>
    <w:next w:val="56"/>
    <w:autoRedefine/>
    <w:qFormat/>
    <w:uiPriority w:val="0"/>
  </w:style>
  <w:style w:type="paragraph" w:customStyle="1" w:styleId="227">
    <w:name w:val="标准文件_术语条五"/>
    <w:basedOn w:val="163"/>
    <w:next w:val="56"/>
    <w:autoRedefine/>
    <w:qFormat/>
    <w:uiPriority w:val="0"/>
  </w:style>
  <w:style w:type="paragraph" w:customStyle="1" w:styleId="228">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autoRedefine/>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glossaryDocument" Target="glossary/document.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4.jpeg"/><Relationship Id="rId17" Type="http://schemas.openxmlformats.org/officeDocument/2006/relationships/image" Target="media/image3.jpeg"/><Relationship Id="rId16" Type="http://schemas.openxmlformats.org/officeDocument/2006/relationships/image" Target="media/image2.pn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A9C15F0E073C482998478E585EEEE1EF"/>
        <w:style w:val=""/>
        <w:category>
          <w:name w:val="常规"/>
          <w:gallery w:val="placeholder"/>
        </w:category>
        <w:types>
          <w:type w:val="bbPlcHdr"/>
        </w:types>
        <w:behaviors>
          <w:behavior w:val="content"/>
        </w:behaviors>
        <w:description w:val=""/>
        <w:guid w:val="{FF369D2A-ADF8-4FBC-B50A-13055F6B0A6A}"/>
      </w:docPartPr>
      <w:docPartBody>
        <w:p w14:paraId="632E47D4">
          <w:pPr>
            <w:pStyle w:val="5"/>
          </w:pPr>
          <w:r>
            <w:rPr>
              <w:rStyle w:val="4"/>
              <w:rFonts w:hint="eastAsia"/>
            </w:rPr>
            <w:t>单击或点击此处输入文字。</w:t>
          </w:r>
        </w:p>
      </w:docPartBody>
    </w:docPart>
    <w:docPart>
      <w:docPartPr>
        <w:name w:val="AC437A730A3041528707D99FAC381562"/>
        <w:style w:val=""/>
        <w:category>
          <w:name w:val="常规"/>
          <w:gallery w:val="placeholder"/>
        </w:category>
        <w:types>
          <w:type w:val="bbPlcHdr"/>
        </w:types>
        <w:behaviors>
          <w:behavior w:val="content"/>
        </w:behaviors>
        <w:description w:val=""/>
        <w:guid w:val="{7EB41FC7-731F-4644-8B18-3F27B27E9DEE}"/>
      </w:docPartPr>
      <w:docPartBody>
        <w:p w14:paraId="45F30C35">
          <w:pPr>
            <w:pStyle w:val="6"/>
          </w:pPr>
          <w:r>
            <w:rPr>
              <w:rStyle w:val="4"/>
              <w:rFonts w:hint="eastAsia"/>
            </w:rPr>
            <w:t>选择一项。</w:t>
          </w:r>
        </w:p>
      </w:docPartBody>
    </w:docPart>
    <w:docPart>
      <w:docPartPr>
        <w:name w:val="1149536501D64E4D9B85957EABA9F840"/>
        <w:style w:val=""/>
        <w:category>
          <w:name w:val="常规"/>
          <w:gallery w:val="placeholder"/>
        </w:category>
        <w:types>
          <w:type w:val="bbPlcHdr"/>
        </w:types>
        <w:behaviors>
          <w:behavior w:val="content"/>
        </w:behaviors>
        <w:description w:val=""/>
        <w:guid w:val="{4A025F05-D074-4E74-9339-8D21848EF026}"/>
      </w:docPartPr>
      <w:docPartBody>
        <w:p w14:paraId="0C20BF8B">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751D"/>
    <w:rsid w:val="001117FF"/>
    <w:rsid w:val="00126697"/>
    <w:rsid w:val="001370C7"/>
    <w:rsid w:val="001716A5"/>
    <w:rsid w:val="00210948"/>
    <w:rsid w:val="00282D00"/>
    <w:rsid w:val="0029511D"/>
    <w:rsid w:val="003E35F4"/>
    <w:rsid w:val="00421A0D"/>
    <w:rsid w:val="005869BF"/>
    <w:rsid w:val="00605A95"/>
    <w:rsid w:val="0077538D"/>
    <w:rsid w:val="00A3751D"/>
    <w:rsid w:val="00B8356E"/>
    <w:rsid w:val="00C95C96"/>
    <w:rsid w:val="00CB5AC8"/>
    <w:rsid w:val="00CF1D58"/>
    <w:rsid w:val="00D47DAA"/>
    <w:rsid w:val="00E628FB"/>
    <w:rsid w:val="00E72F13"/>
    <w:rsid w:val="00EB17E4"/>
    <w:rsid w:val="00EC61A3"/>
    <w:rsid w:val="00EF0D9D"/>
    <w:rsid w:val="00EF2C93"/>
    <w:rsid w:val="00F76F0B"/>
    <w:rsid w:val="00FB4BF9"/>
    <w:rsid w:val="00FF1A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A9C15F0E073C482998478E585EEEE1EF"/>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AC437A730A3041528707D99FAC38156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1149536501D64E4D9B85957EABA9F840"/>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F5574FD-8CFB-4500-8F7A-2C8B6C351152}">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8</Pages>
  <Words>1067</Words>
  <Characters>1286</Characters>
  <Lines>22</Lines>
  <Paragraphs>6</Paragraphs>
  <TotalTime>1</TotalTime>
  <ScaleCrop>false</ScaleCrop>
  <LinksUpToDate>false</LinksUpToDate>
  <CharactersWithSpaces>1360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2024-10-03T07:46:00Z</dcterms:created>
  <dc:creator>DELL</dc:creator>
  <dc:description>&lt;config cover="true" show_menu="true" version="1.0.0" doctype="SDKXY"&gt;_x000d_
&lt;/config&gt;</dc:description>
  <cp:lastModifiedBy>mmme</cp:lastModifiedBy>
  <cp:lastPrinted>2024-03-06T23:26:00Z</cp:lastPrinted>
  <dcterms:modified xsi:type="dcterms:W3CDTF">2024-11-07T01:49:25Z</dcterms:modified>
  <dc:title>地方标准</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2052-12.1.0.18608</vt:lpwstr>
  </property>
  <property fmtid="{D5CDD505-2E9C-101B-9397-08002B2CF9AE}" pid="15" name="ICV">
    <vt:lpwstr>3757F83BCA104EE5929D472DDD290218_13</vt:lpwstr>
  </property>
</Properties>
</file>